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5697" w:rsidRDefault="00000000">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lang w:eastAsia="en-US"/>
        </w:rPr>
        <w:drawing>
          <wp:anchor distT="0" distB="0" distL="0" distR="0" simplePos="0" relativeHeight="2" behindDoc="0" locked="0" layoutInCell="1" allowOverlap="1">
            <wp:simplePos x="0" y="0"/>
            <wp:positionH relativeFrom="margin">
              <wp:posOffset>-135120</wp:posOffset>
            </wp:positionH>
            <wp:positionV relativeFrom="paragraph">
              <wp:posOffset>32385</wp:posOffset>
            </wp:positionV>
            <wp:extent cx="992221" cy="1014094"/>
            <wp:effectExtent l="0" t="0" r="0" b="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cstate="print"/>
                    <a:srcRect/>
                    <a:stretch/>
                  </pic:blipFill>
                  <pic:spPr>
                    <a:xfrm>
                      <a:off x="0" y="0"/>
                      <a:ext cx="992221" cy="1014094"/>
                    </a:xfrm>
                    <a:prstGeom prst="rect">
                      <a:avLst/>
                    </a:prstGeom>
                    <a:ln w="9525" cap="flat" cmpd="sng">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0" distR="0" simplePos="0" relativeHeight="5" behindDoc="0" locked="0" layoutInCell="1" allowOverlap="1">
            <wp:simplePos x="0" y="0"/>
            <wp:positionH relativeFrom="margin">
              <wp:posOffset>5084580</wp:posOffset>
            </wp:positionH>
            <wp:positionV relativeFrom="paragraph">
              <wp:posOffset>6350</wp:posOffset>
            </wp:positionV>
            <wp:extent cx="713361" cy="986790"/>
            <wp:effectExtent l="0" t="0" r="0" b="3810"/>
            <wp:wrapNone/>
            <wp:docPr id="102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rcRect/>
                    <a:stretch/>
                  </pic:blipFill>
                  <pic:spPr>
                    <a:xfrm>
                      <a:off x="0" y="0"/>
                      <a:ext cx="713361" cy="986790"/>
                    </a:xfrm>
                    <a:prstGeom prst="rect">
                      <a:avLst/>
                    </a:prstGeom>
                    <a:ln w="9525" cap="flat" cmpd="sng">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0" distR="0" simplePos="0" relativeHeight="3" behindDoc="0" locked="0" layoutInCell="1" allowOverlap="1">
                <wp:simplePos x="0" y="0"/>
                <wp:positionH relativeFrom="column">
                  <wp:posOffset>-1905</wp:posOffset>
                </wp:positionH>
                <wp:positionV relativeFrom="paragraph">
                  <wp:posOffset>-177165</wp:posOffset>
                </wp:positionV>
                <wp:extent cx="5734050" cy="190500"/>
                <wp:effectExtent l="0" t="0" r="0" b="0"/>
                <wp:wrapNone/>
                <wp:docPr id="10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rgbClr val="FFFFFF"/>
                        </a:solidFill>
                        <a:ln>
                          <a:noFill/>
                        </a:ln>
                      </wps:spPr>
                      <wps:txbx>
                        <w:txbxContent>
                          <w:p w:rsidR="00D25697" w:rsidRDefault="00D25697">
                            <w:pPr>
                              <w:spacing w:line="240" w:lineRule="auto"/>
                              <w:ind w:firstLine="0"/>
                              <w:jc w:val="left"/>
                              <w:textDirection w:val="btLr"/>
                            </w:pPr>
                          </w:p>
                        </w:txbxContent>
                      </wps:txbx>
                      <wps:bodyPr wrap="square" lIns="91425" tIns="91425" rIns="91425" bIns="91425"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28" fillcolor="white" stroked="f" style="position:absolute;margin-left:-0.15pt;margin-top:-13.95pt;width:451.5pt;height:15.0pt;z-index:3;mso-position-horizontal-relative:text;mso-position-vertical-relative:text;mso-width-percent:0;mso-height-percent:0;mso-width-relative:page;mso-height-relative:page;mso-wrap-distance-left:0.0pt;mso-wrap-distance-right:0.0pt;visibility:visible;v-text-anchor:middle;">
                <v:stroke on="f"/>
                <v:fill/>
                <v:textbox inset="7.2pt,7.2pt,7.2pt,7.2pt">
                  <w:txbxContent>
                    <w:p>
                      <w:pPr>
                        <w:pStyle w:val="style0"/>
                        <w:spacing w:lineRule="auto" w:line="240"/>
                        <w:ind w:firstLine="0"/>
                        <w:jc w:val="left"/>
                        <w:textDirection w:val="btLr"/>
                        <w:rPr/>
                      </w:pPr>
                    </w:p>
                  </w:txbxContent>
                </v:textbox>
              </v:rect>
            </w:pict>
          </mc:Fallback>
        </mc:AlternateContent>
      </w:r>
      <w:r>
        <w:rPr>
          <w:rFonts w:ascii="Dancing Script" w:eastAsia="Dancing Script" w:hAnsi="Dancing Script" w:cs="Dancing Script"/>
          <w:b/>
          <w:color w:val="000000"/>
          <w:sz w:val="40"/>
          <w:szCs w:val="40"/>
        </w:rPr>
        <w:t>Prosiding</w:t>
      </w:r>
    </w:p>
    <w:p w:rsidR="00D25697" w:rsidRDefault="00000000">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Pr>
          <w:rFonts w:ascii="Book Antiqua" w:eastAsia="Book Antiqua" w:hAnsi="Book Antiqua" w:cs="Book Antiqua"/>
          <w:b/>
          <w:color w:val="000000"/>
        </w:rPr>
        <w:t>Seminar Nasional Inovasi pendidikan dan Pembelajaran</w:t>
      </w:r>
    </w:p>
    <w:p w:rsidR="00D25697" w:rsidRDefault="00000000">
      <w:pPr>
        <w:pBdr>
          <w:top w:val="nil"/>
          <w:left w:val="nil"/>
          <w:bottom w:val="nil"/>
          <w:right w:val="nil"/>
          <w:between w:val="nil"/>
        </w:pBdr>
        <w:spacing w:line="240" w:lineRule="auto"/>
        <w:ind w:left="1440" w:firstLine="0"/>
        <w:jc w:val="left"/>
        <w:rPr>
          <w:rFonts w:ascii="Book Antiqua" w:eastAsia="Book Antiqua" w:hAnsi="Book Antiqua"/>
          <w:b/>
          <w:color w:val="000000"/>
        </w:rPr>
      </w:pPr>
      <w:r>
        <w:rPr>
          <w:rFonts w:ascii="Book Antiqua" w:hAnsi="Book Antiqua"/>
          <w:b/>
          <w:color w:val="000000"/>
        </w:rPr>
        <w:t>Fakultas Pendidikan Bahasa dan Seni</w:t>
      </w:r>
    </w:p>
    <w:p w:rsidR="00D25697" w:rsidRDefault="00000000">
      <w:pPr>
        <w:pBdr>
          <w:top w:val="nil"/>
          <w:left w:val="nil"/>
          <w:bottom w:val="nil"/>
          <w:right w:val="nil"/>
          <w:between w:val="nil"/>
        </w:pBdr>
        <w:spacing w:line="240" w:lineRule="auto"/>
        <w:ind w:firstLine="0"/>
        <w:rPr>
          <w:rFonts w:ascii="Book Antiqua" w:hAnsi="Book Antiqua"/>
          <w:b/>
          <w:color w:val="000000"/>
        </w:rPr>
      </w:pPr>
      <w:r>
        <w:rPr>
          <w:rFonts w:ascii="Book Antiqua" w:hAnsi="Book Antiqua"/>
          <w:color w:val="000000"/>
        </w:rPr>
        <w:tab/>
      </w:r>
      <w:r>
        <w:rPr>
          <w:rFonts w:ascii="Book Antiqua" w:hAnsi="Book Antiqua"/>
          <w:color w:val="000000"/>
        </w:rPr>
        <w:tab/>
      </w:r>
      <w:r>
        <w:rPr>
          <w:rFonts w:ascii="Book Antiqua" w:hAnsi="Book Antiqua"/>
          <w:b/>
          <w:color w:val="000000"/>
        </w:rPr>
        <w:t>IKIP PGRI Bojonegoro</w:t>
      </w:r>
    </w:p>
    <w:p w:rsidR="00D25697"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r>
        <w:rPr>
          <w:rFonts w:ascii="Book Antiqua" w:hAnsi="Book Antiqua"/>
          <w:i/>
          <w:color w:val="000000"/>
          <w:sz w:val="18"/>
          <w:szCs w:val="18"/>
        </w:rPr>
        <w:t xml:space="preserve">Tema “Inovasi pendidikan dan Pembelajaran di era digital untuk Pengalaman Belajar </w:t>
      </w:r>
    </w:p>
    <w:p w:rsidR="00D25697"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r>
        <w:rPr>
          <w:rFonts w:ascii="Book Antiqua" w:hAnsi="Book Antiqua"/>
          <w:i/>
          <w:color w:val="000000"/>
          <w:sz w:val="18"/>
          <w:szCs w:val="18"/>
        </w:rPr>
        <w:t>Imersif”</w:t>
      </w:r>
      <w:r w:rsidR="00FC238D" w:rsidRPr="00FC238D">
        <w:rPr>
          <w:noProof/>
        </w:rPr>
        <w:t xml:space="preserve"> </w:t>
      </w:r>
    </w:p>
    <w:p w:rsidR="00D25697" w:rsidRDefault="00FC238D">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noProof/>
        </w:rPr>
        <mc:AlternateContent>
          <mc:Choice Requires="wps">
            <w:drawing>
              <wp:anchor distT="0" distB="0" distL="114300" distR="114300" simplePos="0" relativeHeight="251659264" behindDoc="0" locked="0" layoutInCell="1" allowOverlap="1" wp14:anchorId="0F0B328D" wp14:editId="3B9F04FE">
                <wp:simplePos x="0" y="0"/>
                <wp:positionH relativeFrom="column">
                  <wp:posOffset>0</wp:posOffset>
                </wp:positionH>
                <wp:positionV relativeFrom="paragraph">
                  <wp:posOffset>71120</wp:posOffset>
                </wp:positionV>
                <wp:extent cx="5743575" cy="25400"/>
                <wp:effectExtent l="0" t="0" r="28575" b="31750"/>
                <wp:wrapNone/>
                <wp:docPr id="26153768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C6EFF3B" id="_x0000_t32" coordsize="21600,21600" o:spt="32" o:oned="t" path="m,l21600,21600e" filled="f">
                <v:path arrowok="t" fillok="f" o:connecttype="none"/>
                <o:lock v:ext="edit" shapetype="t"/>
              </v:shapetype>
              <v:shape id="Straight Arrow Connector 3" o:spid="_x0000_s1026" type="#_x0000_t32" style="position:absolute;margin-left:0;margin-top:5.6pt;width:452.25pt;height:2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" strokecolor="black [3200]" strokeweight="2pt">
                <v:stroke startarrowwidth="narrow" startarrowlength="short" endarrowwidth="narrow" endarrowlength="short"/>
                <o:lock v:ext="edit" shapetype="f"/>
              </v:shape>
            </w:pict>
          </mc:Fallback>
        </mc:AlternateContent>
      </w:r>
    </w:p>
    <w:p w:rsidR="00D25697" w:rsidRDefault="00D25697">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rsidR="00D25697" w:rsidRPr="00FC238D" w:rsidRDefault="00FC238D">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FC238D">
        <w:rPr>
          <w:rFonts w:ascii="Book Antiqua" w:eastAsia="Book Antiqua" w:hAnsi="Book Antiqua" w:cs="Book Antiqua"/>
          <w:b/>
          <w:color w:val="000000"/>
          <w:sz w:val="28"/>
          <w:szCs w:val="28"/>
        </w:rPr>
        <w:t xml:space="preserve">Strategies </w:t>
      </w:r>
      <w:r>
        <w:rPr>
          <w:rFonts w:ascii="Book Antiqua" w:eastAsia="Book Antiqua" w:hAnsi="Book Antiqua" w:cs="Book Antiqua"/>
          <w:b/>
          <w:color w:val="000000"/>
          <w:sz w:val="28"/>
          <w:szCs w:val="28"/>
        </w:rPr>
        <w:t>i</w:t>
      </w:r>
      <w:r w:rsidRPr="00FC238D">
        <w:rPr>
          <w:rFonts w:ascii="Book Antiqua" w:eastAsia="Book Antiqua" w:hAnsi="Book Antiqua" w:cs="Book Antiqua"/>
          <w:b/>
          <w:color w:val="000000"/>
          <w:sz w:val="28"/>
          <w:szCs w:val="28"/>
        </w:rPr>
        <w:t xml:space="preserve">n Teaching English Speaking Skills </w:t>
      </w:r>
      <w:r>
        <w:rPr>
          <w:rFonts w:ascii="Book Antiqua" w:eastAsia="Book Antiqua" w:hAnsi="Book Antiqua" w:cs="Book Antiqua"/>
          <w:b/>
          <w:color w:val="000000"/>
          <w:sz w:val="28"/>
          <w:szCs w:val="28"/>
        </w:rPr>
        <w:t>i</w:t>
      </w:r>
      <w:r w:rsidRPr="00FC238D">
        <w:rPr>
          <w:rFonts w:ascii="Book Antiqua" w:eastAsia="Book Antiqua" w:hAnsi="Book Antiqua" w:cs="Book Antiqua"/>
          <w:b/>
          <w:color w:val="000000"/>
          <w:sz w:val="28"/>
          <w:szCs w:val="28"/>
        </w:rPr>
        <w:t xml:space="preserve">n Grade 7 </w:t>
      </w:r>
      <w:r>
        <w:rPr>
          <w:rFonts w:ascii="Book Antiqua" w:eastAsia="Book Antiqua" w:hAnsi="Book Antiqua" w:cs="Book Antiqua"/>
          <w:b/>
          <w:color w:val="000000"/>
          <w:sz w:val="28"/>
          <w:szCs w:val="28"/>
        </w:rPr>
        <w:t>o</w:t>
      </w:r>
      <w:r w:rsidRPr="00FC238D">
        <w:rPr>
          <w:rFonts w:ascii="Book Antiqua" w:eastAsia="Book Antiqua" w:hAnsi="Book Antiqua" w:cs="Book Antiqua"/>
          <w:b/>
          <w:color w:val="000000"/>
          <w:sz w:val="28"/>
          <w:szCs w:val="28"/>
        </w:rPr>
        <w:t xml:space="preserve">f Junior High Schools </w:t>
      </w:r>
      <w:r>
        <w:rPr>
          <w:rFonts w:ascii="Book Antiqua" w:eastAsia="Book Antiqua" w:hAnsi="Book Antiqua" w:cs="Book Antiqua"/>
          <w:b/>
          <w:color w:val="000000"/>
          <w:sz w:val="28"/>
          <w:szCs w:val="28"/>
        </w:rPr>
        <w:t>i</w:t>
      </w:r>
      <w:r w:rsidRPr="00FC238D">
        <w:rPr>
          <w:rFonts w:ascii="Book Antiqua" w:eastAsia="Book Antiqua" w:hAnsi="Book Antiqua" w:cs="Book Antiqua"/>
          <w:b/>
          <w:color w:val="000000"/>
          <w:sz w:val="28"/>
          <w:szCs w:val="28"/>
        </w:rPr>
        <w:t>n Rural Areas</w:t>
      </w:r>
    </w:p>
    <w:p w:rsidR="00D25697" w:rsidRPr="00FC238D" w:rsidRDefault="00D25697">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rsidR="00D25697" w:rsidRPr="00FC238D" w:rsidRDefault="00000000" w:rsidP="00FC238D">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vertAlign w:val="superscript"/>
        </w:rPr>
      </w:pPr>
      <w:r w:rsidRPr="00FC238D">
        <w:rPr>
          <w:rFonts w:ascii="Book Antiqua" w:eastAsia="Book Antiqua" w:hAnsi="Book Antiqua" w:cs="Book Antiqua"/>
          <w:color w:val="000000"/>
          <w:sz w:val="24"/>
          <w:szCs w:val="24"/>
        </w:rPr>
        <w:t>Dina Susanti</w:t>
      </w:r>
      <w:r w:rsidRPr="00FC238D">
        <w:rPr>
          <w:rFonts w:ascii="Book Antiqua" w:eastAsia="Book Antiqua" w:hAnsi="Book Antiqua" w:cs="Book Antiqua"/>
          <w:color w:val="000000"/>
          <w:sz w:val="24"/>
          <w:szCs w:val="24"/>
          <w:vertAlign w:val="superscript"/>
        </w:rPr>
        <w:t>1(</w:t>
      </w:r>
      <w:r w:rsidRPr="00FC238D">
        <w:rPr>
          <w:rFonts w:ascii="Segoe UI Symbol" w:eastAsia="Wingdings" w:hAnsi="Segoe UI Symbol" w:cs="Segoe UI Symbol"/>
          <w:color w:val="000000"/>
          <w:sz w:val="24"/>
          <w:szCs w:val="24"/>
          <w:vertAlign w:val="superscript"/>
        </w:rPr>
        <w:t>🖂</w:t>
      </w:r>
      <w:r w:rsidRPr="00FC238D">
        <w:rPr>
          <w:rFonts w:ascii="Book Antiqua" w:eastAsia="Book Antiqua" w:hAnsi="Book Antiqua" w:cs="Book Antiqua"/>
          <w:color w:val="000000"/>
          <w:sz w:val="24"/>
          <w:szCs w:val="24"/>
          <w:vertAlign w:val="superscript"/>
        </w:rPr>
        <w:t>)</w:t>
      </w:r>
      <w:r w:rsidRPr="00FC238D">
        <w:rPr>
          <w:rFonts w:ascii="Book Antiqua" w:eastAsia="Book Antiqua" w:hAnsi="Book Antiqua" w:cs="Book Antiqua"/>
          <w:color w:val="000000"/>
          <w:sz w:val="24"/>
          <w:szCs w:val="24"/>
        </w:rPr>
        <w:t>, Meiga Ratih Tirtanawati</w:t>
      </w:r>
      <w:r w:rsidRPr="00FC238D">
        <w:rPr>
          <w:rFonts w:ascii="Book Antiqua" w:eastAsia="Book Antiqua" w:hAnsi="Book Antiqua" w:cs="Book Antiqua"/>
          <w:color w:val="000000"/>
          <w:sz w:val="24"/>
          <w:szCs w:val="24"/>
          <w:vertAlign w:val="superscript"/>
        </w:rPr>
        <w:t>2</w:t>
      </w:r>
      <w:r w:rsidRPr="00FC238D">
        <w:rPr>
          <w:rFonts w:ascii="Book Antiqua" w:eastAsia="Book Antiqua" w:hAnsi="Book Antiqua" w:cs="Book Antiqua"/>
          <w:color w:val="000000"/>
          <w:sz w:val="24"/>
          <w:szCs w:val="24"/>
        </w:rPr>
        <w:t xml:space="preserve">, </w:t>
      </w:r>
      <w:r w:rsidRPr="00FC238D">
        <w:rPr>
          <w:rFonts w:ascii="Book Antiqua" w:eastAsia=",serif" w:hAnsi="Book Antiqua" w:cs=",serif"/>
          <w:color w:val="000000"/>
          <w:sz w:val="24"/>
        </w:rPr>
        <w:t>Chyntia Heru Woro Prastiwi</w:t>
      </w:r>
      <w:r w:rsidRPr="00FC238D">
        <w:rPr>
          <w:rFonts w:ascii="Book Antiqua" w:eastAsia=",serif" w:hAnsi="Book Antiqua" w:cs=",serif"/>
          <w:color w:val="000000"/>
          <w:sz w:val="1"/>
          <w:vertAlign w:val="superscript"/>
        </w:rPr>
        <w:t>3</w:t>
      </w:r>
      <w:r w:rsidRPr="00FC238D">
        <w:rPr>
          <w:rFonts w:ascii="Book Antiqua" w:eastAsia="Book Antiqua" w:hAnsi="Book Antiqua" w:cs="Book Antiqua"/>
          <w:color w:val="000000"/>
          <w:sz w:val="24"/>
          <w:szCs w:val="24"/>
          <w:vertAlign w:val="superscript"/>
        </w:rPr>
        <w:t>3</w:t>
      </w:r>
    </w:p>
    <w:p w:rsidR="00D25697" w:rsidRPr="00FC238D"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FC238D">
        <w:rPr>
          <w:rFonts w:ascii="Book Antiqua" w:eastAsia="Book Antiqua" w:hAnsi="Book Antiqua" w:cs="Book Antiqua"/>
          <w:color w:val="000000"/>
          <w:sz w:val="24"/>
          <w:szCs w:val="24"/>
          <w:vertAlign w:val="superscript"/>
        </w:rPr>
        <w:t>1</w:t>
      </w:r>
      <w:r w:rsidR="00FC238D">
        <w:rPr>
          <w:rFonts w:ascii="Book Antiqua" w:eastAsia="Book Antiqua" w:hAnsi="Book Antiqua" w:cs="Book Antiqua"/>
          <w:color w:val="000000"/>
          <w:sz w:val="24"/>
          <w:szCs w:val="24"/>
          <w:vertAlign w:val="superscript"/>
        </w:rPr>
        <w:t>,2,3</w:t>
      </w:r>
      <w:r w:rsidRPr="00FC238D">
        <w:rPr>
          <w:rFonts w:ascii="Book Antiqua" w:eastAsia="Book Antiqua" w:hAnsi="Book Antiqua" w:cs="Book Antiqua"/>
          <w:color w:val="000000"/>
          <w:sz w:val="24"/>
          <w:szCs w:val="24"/>
        </w:rPr>
        <w:t>English Education Departement, IKIP PGRI Bojonegoro, Indonesia</w:t>
      </w:r>
    </w:p>
    <w:p w:rsidR="00D25697" w:rsidRPr="00FC238D" w:rsidRDefault="00FC238D">
      <w:pPr>
        <w:pBdr>
          <w:top w:val="nil"/>
          <w:left w:val="nil"/>
          <w:bottom w:val="nil"/>
          <w:right w:val="nil"/>
          <w:between w:val="nil"/>
        </w:pBdr>
        <w:spacing w:line="240" w:lineRule="auto"/>
        <w:ind w:firstLine="0"/>
        <w:jc w:val="center"/>
        <w:rPr>
          <w:rFonts w:ascii="Book Antiqua" w:eastAsia="Book Antiqua" w:hAnsi="Book Antiqua" w:cs="Book Antiqua"/>
          <w:color w:val="0000FF"/>
          <w:sz w:val="24"/>
          <w:szCs w:val="24"/>
          <w:u w:val="single"/>
          <w:lang w:val="id-ID"/>
        </w:rPr>
      </w:pPr>
      <w:hyperlink r:id="rId8" w:history="1">
        <w:r w:rsidRPr="007A6205">
          <w:rPr>
            <w:rStyle w:val="Hyperlink"/>
            <w:rFonts w:ascii="Book Antiqua" w:eastAsia="Book Antiqua" w:hAnsi="Book Antiqua" w:cs="Book Antiqua"/>
            <w:sz w:val="24"/>
            <w:szCs w:val="24"/>
            <w:lang w:val="id-ID"/>
          </w:rPr>
          <w:t>hanmekadhina@gmail.com, meiga_ratih@ikippgribojonego</w:t>
        </w:r>
        <w:r w:rsidRPr="007A6205">
          <w:rPr>
            <w:rStyle w:val="Hyperlink"/>
            <w:rFonts w:ascii="Book Antiqua" w:eastAsia="Book Antiqua" w:hAnsi="Book Antiqua" w:cs="Book Antiqua"/>
            <w:sz w:val="24"/>
            <w:szCs w:val="24"/>
          </w:rPr>
          <w:t>r</w:t>
        </w:r>
        <w:r w:rsidRPr="007A6205">
          <w:rPr>
            <w:rStyle w:val="Hyperlink"/>
            <w:rFonts w:ascii="Book Antiqua" w:eastAsia="Book Antiqua" w:hAnsi="Book Antiqua" w:cs="Book Antiqua"/>
            <w:sz w:val="24"/>
            <w:szCs w:val="24"/>
            <w:lang w:val="id-ID"/>
          </w:rPr>
          <w:t>o.ac.id</w:t>
        </w:r>
      </w:hyperlink>
      <w:r w:rsidRPr="00FC238D">
        <w:rPr>
          <w:rFonts w:ascii="Book Antiqua" w:eastAsia="Book Antiqua" w:hAnsi="Book Antiqua" w:cs="Book Antiqua"/>
          <w:color w:val="0000FF"/>
          <w:sz w:val="24"/>
          <w:szCs w:val="24"/>
          <w:u w:val="single"/>
          <w:lang w:val="id-ID"/>
        </w:rPr>
        <w:t>,</w:t>
      </w:r>
    </w:p>
    <w:p w:rsidR="00D25697" w:rsidRPr="00FC238D" w:rsidRDefault="00000000">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lang w:val="id-ID"/>
        </w:rPr>
      </w:pPr>
      <w:r w:rsidRPr="00FC238D">
        <w:rPr>
          <w:rFonts w:ascii="Book Antiqua" w:eastAsia="Book Antiqua" w:hAnsi="Book Antiqua" w:cs="Book Antiqua"/>
          <w:color w:val="0000FF"/>
          <w:sz w:val="24"/>
          <w:szCs w:val="24"/>
          <w:u w:val="single"/>
          <w:lang w:val="id-ID"/>
        </w:rPr>
        <w:t>chyntia_heru@ikippgribojonegoro.ac.id</w:t>
      </w:r>
    </w:p>
    <w:p w:rsidR="00D25697" w:rsidRPr="00FC238D" w:rsidRDefault="00D25697">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D25697" w:rsidRPr="00FC238D" w:rsidRDefault="00FC238D" w:rsidP="00FC238D">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r>
        <w:rPr>
          <w:rFonts w:ascii="Book Antiqua" w:eastAsia="Book Antiqua" w:hAnsi="Book Antiqua" w:cs="Book Antiqua"/>
          <w:b/>
          <w:color w:val="000000"/>
        </w:rPr>
        <w:t>A</w:t>
      </w:r>
      <w:r w:rsidRPr="00FC238D">
        <w:rPr>
          <w:rFonts w:ascii="Book Antiqua" w:eastAsia="Book Antiqua" w:hAnsi="Book Antiqua" w:cs="Book Antiqua"/>
          <w:b/>
          <w:color w:val="000000"/>
        </w:rPr>
        <w:t>bstrak—</w:t>
      </w:r>
      <w:r w:rsidRPr="00FC238D">
        <w:rPr>
          <w:rFonts w:ascii="Book Antiqua" w:eastAsia="Book Antiqua" w:hAnsi="Book Antiqua" w:cs="Book Antiqua"/>
          <w:color w:val="000000"/>
        </w:rPr>
        <w:t>Keterampilan berbicara merupakan salah satu aspek penting dalam pembelajaran Bahasa Inggris, terutama bagi siswa di daerah pedesaan yang sering menghadapi hambatan seperti keterbatasan fasilitas, rendahnya motivasi, dan minimnya paparan Bahasa Inggris di luar kelas. Penelitian ini bertujuan untuk mendeskripsikan strategi yang digunakan guru dalam meningkatkan keterampilan berbicara Bahasa Inggris pada siswa kelas tujuh di SMPN 1 Sekar dan SMPN 2 Gondang. Penelitian ini menggunakan pendekatan kualitatif deskriptif dengan teknik pengumpulan data berupa observasi, wawancara, dan dokumentasi. Hasil penelitian menunjukkan bahwa guru menerapkan berbagai strategi seperti role-play, diskusi kelompok, dan storytelling untuk mendorong siswa aktif berbicara. Meskipun menghadapi tantangan seperti keterbatasan akses internet dan fasilitas belajar yang kurang memadai, guru tetap berinovasi agar pembelajaran berlangsung secara efektif. Dapat disimpulkan bahwa strategi yang diterapkan mampu meningkatkan kepercayaan diri dan kemampuan berbicara siswa, meskipun diperlukan dukungan lebih lanjut agar proses pembelajaran semakin optimal.</w:t>
      </w:r>
    </w:p>
    <w:p w:rsidR="00D25697" w:rsidRPr="00FC238D" w:rsidRDefault="00000000" w:rsidP="00FC238D">
      <w:pPr>
        <w:pBdr>
          <w:top w:val="nil"/>
          <w:left w:val="nil"/>
          <w:bottom w:val="nil"/>
          <w:right w:val="nil"/>
          <w:between w:val="nil"/>
        </w:pBdr>
        <w:spacing w:line="240" w:lineRule="auto"/>
        <w:ind w:left="540" w:right="567" w:firstLine="0"/>
        <w:rPr>
          <w:rFonts w:ascii="Book Antiqua" w:eastAsia="Book Antiqua" w:hAnsi="Book Antiqua" w:cs="Book Antiqua"/>
          <w:b/>
          <w:color w:val="000000"/>
        </w:rPr>
      </w:pPr>
      <w:r w:rsidRPr="00FC238D">
        <w:rPr>
          <w:rFonts w:ascii="Book Antiqua" w:eastAsia="Book Antiqua" w:hAnsi="Book Antiqua" w:cs="Book Antiqua"/>
          <w:b/>
          <w:color w:val="000000"/>
        </w:rPr>
        <w:t>Kata kunci —</w:t>
      </w:r>
      <w:r w:rsidR="00FC238D" w:rsidRPr="00FC238D">
        <w:rPr>
          <w:rFonts w:ascii="Book Antiqua" w:eastAsia="Book Antiqua" w:hAnsi="Book Antiqua" w:cs="Book Antiqua"/>
          <w:color w:val="000000"/>
        </w:rPr>
        <w:t xml:space="preserve">Strategi Mengajar, Keterampilan Berbicara, Pendidikan </w:t>
      </w:r>
      <w:r w:rsidR="00FC238D">
        <w:rPr>
          <w:rFonts w:ascii="Book Antiqua" w:eastAsia="Book Antiqua" w:hAnsi="Book Antiqua" w:cs="Book Antiqua"/>
          <w:color w:val="000000"/>
        </w:rPr>
        <w:t>d</w:t>
      </w:r>
      <w:r w:rsidR="00FC238D" w:rsidRPr="00FC238D">
        <w:rPr>
          <w:rFonts w:ascii="Book Antiqua" w:eastAsia="Book Antiqua" w:hAnsi="Book Antiqua" w:cs="Book Antiqua"/>
          <w:color w:val="000000"/>
        </w:rPr>
        <w:t>i Daerah Pedesaan</w:t>
      </w:r>
    </w:p>
    <w:p w:rsidR="00D25697" w:rsidRPr="00FC238D" w:rsidRDefault="00D25697">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rsidR="00D25697" w:rsidRPr="00FC238D" w:rsidRDefault="00000000" w:rsidP="00FC238D">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r w:rsidRPr="00FC238D">
        <w:rPr>
          <w:rFonts w:ascii="Book Antiqua" w:eastAsia="Book Antiqua" w:hAnsi="Book Antiqua" w:cs="Book Antiqua"/>
          <w:b/>
          <w:color w:val="000000"/>
        </w:rPr>
        <w:t>Abstract—</w:t>
      </w:r>
      <w:r w:rsidRPr="00FC238D">
        <w:rPr>
          <w:rFonts w:ascii="Book Antiqua" w:eastAsia="Book Antiqua" w:hAnsi="Book Antiqua" w:cs="Book Antiqua"/>
          <w:color w:val="000000"/>
        </w:rPr>
        <w:t>Speaking skill is one of the essential aspects of English learning, especially for students in rural areas who often face obstacles such as limited facilities, low motivation, and minimal exposure to English outside the classroom. This study aims to describe the strategies used by teachers to improve English speaking skills among seventh-grade students at SMPN 1 Sekar and SMPN 2 Gondang. This research employs a descriptive qualitative approach with data collection techniques including observation, interviews, and documentation. The findings show that teachers apply various strategies such as role-play, group discussions, and storytelling to encourage students to speak actively. Despite challenges like limited internet access and inadequate learning facilities, teachers continue to innovate to ensure effective learning. It can be concluded that the implemented strategies help improve students' confidence and speaking abilities, although further support is needed to optimize the learning process.</w:t>
      </w:r>
    </w:p>
    <w:p w:rsidR="00FC238D" w:rsidRDefault="00000000" w:rsidP="00FC238D">
      <w:pPr>
        <w:pBdr>
          <w:top w:val="nil"/>
          <w:left w:val="nil"/>
          <w:bottom w:val="nil"/>
          <w:right w:val="nil"/>
          <w:between w:val="nil"/>
        </w:pBdr>
        <w:tabs>
          <w:tab w:val="left" w:pos="1260"/>
        </w:tabs>
        <w:spacing w:line="240" w:lineRule="auto"/>
        <w:ind w:left="567" w:right="567" w:firstLine="0"/>
        <w:jc w:val="left"/>
        <w:rPr>
          <w:rFonts w:ascii="Book Antiqua" w:eastAsia="Book Antiqua" w:hAnsi="Book Antiqua" w:cs="Book Antiqua"/>
          <w:color w:val="000000"/>
        </w:rPr>
      </w:pPr>
      <w:r w:rsidRPr="00FC238D">
        <w:rPr>
          <w:rFonts w:ascii="Book Antiqua" w:eastAsia="Book Antiqua" w:hAnsi="Book Antiqua" w:cs="Book Antiqua"/>
          <w:b/>
          <w:color w:val="000000"/>
        </w:rPr>
        <w:t>Keywords—</w:t>
      </w:r>
      <w:r w:rsidR="00FC238D" w:rsidRPr="00FC238D">
        <w:rPr>
          <w:rFonts w:ascii="Book Antiqua" w:eastAsia="Book Antiqua" w:hAnsi="Book Antiqua" w:cs="Book Antiqua"/>
          <w:color w:val="000000"/>
        </w:rPr>
        <w:t>Teaching Strategies, Speaking Skills, Rural Education</w:t>
      </w:r>
    </w:p>
    <w:p w:rsidR="00FC238D" w:rsidRDefault="00FC238D" w:rsidP="00FC238D">
      <w:pPr>
        <w:pBdr>
          <w:top w:val="nil"/>
          <w:left w:val="nil"/>
          <w:bottom w:val="nil"/>
          <w:right w:val="nil"/>
          <w:between w:val="nil"/>
        </w:pBdr>
        <w:tabs>
          <w:tab w:val="left" w:pos="1260"/>
        </w:tabs>
        <w:spacing w:line="240" w:lineRule="auto"/>
        <w:ind w:left="567" w:right="567" w:firstLine="0"/>
        <w:jc w:val="left"/>
        <w:rPr>
          <w:rFonts w:ascii="Book Antiqua" w:eastAsia="Book Antiqua" w:hAnsi="Book Antiqua" w:cs="Book Antiqua"/>
          <w:color w:val="000000"/>
        </w:rPr>
      </w:pPr>
    </w:p>
    <w:p w:rsidR="00FC238D" w:rsidRDefault="00FC238D" w:rsidP="00FC238D">
      <w:pPr>
        <w:pBdr>
          <w:top w:val="nil"/>
          <w:left w:val="nil"/>
          <w:bottom w:val="nil"/>
          <w:right w:val="nil"/>
          <w:between w:val="nil"/>
        </w:pBdr>
        <w:tabs>
          <w:tab w:val="left" w:pos="1260"/>
        </w:tabs>
        <w:spacing w:line="240" w:lineRule="auto"/>
        <w:ind w:left="567" w:right="567" w:firstLine="0"/>
        <w:jc w:val="left"/>
        <w:rPr>
          <w:rFonts w:ascii="Book Antiqua" w:eastAsia="Book Antiqua" w:hAnsi="Book Antiqua" w:cs="Book Antiqua"/>
          <w:color w:val="000000"/>
        </w:rPr>
      </w:pPr>
    </w:p>
    <w:p w:rsidR="00FC238D" w:rsidRDefault="00FC238D" w:rsidP="00FC238D">
      <w:pPr>
        <w:pBdr>
          <w:top w:val="nil"/>
          <w:left w:val="nil"/>
          <w:bottom w:val="nil"/>
          <w:right w:val="nil"/>
          <w:between w:val="nil"/>
        </w:pBdr>
        <w:tabs>
          <w:tab w:val="left" w:pos="1260"/>
        </w:tabs>
        <w:spacing w:line="240" w:lineRule="auto"/>
        <w:ind w:left="567" w:right="567" w:firstLine="0"/>
        <w:jc w:val="left"/>
        <w:rPr>
          <w:rFonts w:ascii="Book Antiqua" w:eastAsia="Book Antiqua" w:hAnsi="Book Antiqua" w:cs="Book Antiqua"/>
          <w:color w:val="000000"/>
        </w:rPr>
      </w:pPr>
    </w:p>
    <w:p w:rsidR="00FC238D" w:rsidRDefault="00FC238D" w:rsidP="00FC238D">
      <w:pPr>
        <w:pBdr>
          <w:top w:val="nil"/>
          <w:left w:val="nil"/>
          <w:bottom w:val="nil"/>
          <w:right w:val="nil"/>
          <w:between w:val="nil"/>
        </w:pBdr>
        <w:tabs>
          <w:tab w:val="left" w:pos="1260"/>
        </w:tabs>
        <w:spacing w:line="240" w:lineRule="auto"/>
        <w:ind w:left="567" w:right="567" w:firstLine="0"/>
        <w:jc w:val="left"/>
        <w:rPr>
          <w:rFonts w:ascii="Book Antiqua" w:eastAsia="Book Antiqua" w:hAnsi="Book Antiqua" w:cs="Book Antiqua"/>
          <w:color w:val="000000"/>
        </w:rPr>
      </w:pPr>
    </w:p>
    <w:p w:rsidR="00FC238D" w:rsidRPr="00FC238D" w:rsidRDefault="00FC238D" w:rsidP="00FC238D">
      <w:pPr>
        <w:pBdr>
          <w:top w:val="nil"/>
          <w:left w:val="nil"/>
          <w:bottom w:val="nil"/>
          <w:right w:val="nil"/>
          <w:between w:val="nil"/>
        </w:pBdr>
        <w:tabs>
          <w:tab w:val="left" w:pos="1260"/>
        </w:tabs>
        <w:spacing w:line="240" w:lineRule="auto"/>
        <w:ind w:left="567" w:right="567" w:firstLine="0"/>
        <w:jc w:val="left"/>
        <w:rPr>
          <w:rFonts w:ascii="Book Antiqua" w:eastAsia="Book Antiqua" w:hAnsi="Book Antiqua" w:cs="Book Antiqua"/>
          <w:color w:val="000000"/>
        </w:rPr>
      </w:pPr>
    </w:p>
    <w:p w:rsidR="00D25697" w:rsidRPr="00FC238D" w:rsidRDefault="00000000" w:rsidP="00FC238D">
      <w:pPr>
        <w:keepNext/>
        <w:keepLines/>
        <w:pBdr>
          <w:top w:val="nil"/>
          <w:left w:val="nil"/>
          <w:bottom w:val="nil"/>
          <w:right w:val="nil"/>
          <w:between w:val="nil"/>
        </w:pBdr>
        <w:tabs>
          <w:tab w:val="left" w:pos="216"/>
        </w:tabs>
        <w:spacing w:line="240" w:lineRule="auto"/>
        <w:ind w:left="567" w:hanging="567"/>
        <w:jc w:val="left"/>
        <w:rPr>
          <w:rFonts w:ascii="Book Antiqua" w:hAnsi="Book Antiqua"/>
          <w:b/>
          <w:color w:val="000000"/>
          <w:sz w:val="24"/>
          <w:szCs w:val="24"/>
          <w:lang w:val="id-ID"/>
        </w:rPr>
      </w:pPr>
      <w:r w:rsidRPr="00FC238D">
        <w:rPr>
          <w:rFonts w:ascii="Book Antiqua" w:hAnsi="Book Antiqua"/>
          <w:b/>
          <w:color w:val="000000"/>
          <w:sz w:val="24"/>
          <w:szCs w:val="24"/>
          <w:lang w:val="id-ID"/>
        </w:rPr>
        <w:lastRenderedPageBreak/>
        <w:t>INTRODUCTION</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 xml:space="preserve"> Speaking is one of the most crucial skills in learning English as it enables learners to communicate their ideas, thoughts, and emotions clearly. This skill is particularly essential for seventh-grade students in junior high schools, especially those in rural areas, where limited resources and minimal exposure to English outside the classroom often hinder their progress. According to Brown (2015), speaking is a complex skill that requires learners to use appropriate language in diverse social contexts. However, students in rural areas often struggle with inadequate opportunities to practice speaking English, which affects their ability to use the language effectively in everyday communication.</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 xml:space="preserve">The role of the teacher is critical in overcoming these challenges. Tirtanawati </w:t>
      </w:r>
      <w:r w:rsidR="00FC238D">
        <w:rPr>
          <w:rFonts w:ascii="Book Antiqua" w:eastAsia="Book Antiqua" w:hAnsi="Book Antiqua" w:cs="Book Antiqua"/>
          <w:sz w:val="24"/>
          <w:szCs w:val="24"/>
        </w:rPr>
        <w:t>&amp;</w:t>
      </w:r>
      <w:r w:rsidRPr="00FC238D">
        <w:rPr>
          <w:rFonts w:ascii="Book Antiqua" w:eastAsia="Book Antiqua" w:hAnsi="Book Antiqua" w:cs="Book Antiqua"/>
          <w:sz w:val="24"/>
          <w:szCs w:val="24"/>
        </w:rPr>
        <w:t xml:space="preserve"> Prastiwi (2023) emphasize that teachers in rural schools must adapt their strategies to meet students’ needs, local conditions, and available resources. By implementing creative and adaptive teaching methods, teachers can overcome the limitations of rural educational environments. Richards (2015) supports the use of communicative strategies, such as role-play and group discussions, as effective tools for encouraging student interaction and language use.</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Moreover, motivating students in rural areas requires tasks that are both engaging and contextually relevant. Dörnyei and Ushioda (2021) argue that students' motivation increases when learning activities are meaningful and enjoyable. For instance, Azizah</w:t>
      </w:r>
      <w:r w:rsidR="00FC238D">
        <w:rPr>
          <w:rFonts w:ascii="Book Antiqua" w:eastAsia="Book Antiqua" w:hAnsi="Book Antiqua" w:cs="Book Antiqua"/>
          <w:sz w:val="24"/>
          <w:szCs w:val="24"/>
        </w:rPr>
        <w:t>, et al.</w:t>
      </w:r>
      <w:r w:rsidRPr="00FC238D">
        <w:rPr>
          <w:rFonts w:ascii="Book Antiqua" w:eastAsia="Book Antiqua" w:hAnsi="Book Antiqua" w:cs="Book Antiqua"/>
          <w:sz w:val="24"/>
          <w:szCs w:val="24"/>
        </w:rPr>
        <w:t xml:space="preserve"> (2023) found that organizing English contests helped boost students' confidence and improved their speaking skills by providing a competitive and fun learning environment.</w:t>
      </w:r>
    </w:p>
    <w:p w:rsidR="00D25697" w:rsidRPr="00FC238D" w:rsidRDefault="00000000" w:rsidP="00FC238D">
      <w:pPr>
        <w:spacing w:line="276" w:lineRule="auto"/>
        <w:ind w:firstLine="567"/>
        <w:rPr>
          <w:rFonts w:ascii="Book Antiqua" w:eastAsia="Book Antiqua" w:hAnsi="Book Antiqua" w:cs="Book Antiqua"/>
          <w:sz w:val="24"/>
          <w:szCs w:val="24"/>
          <w:lang w:val="id-ID"/>
        </w:rPr>
      </w:pPr>
      <w:r w:rsidRPr="00FC238D">
        <w:rPr>
          <w:rFonts w:ascii="Book Antiqua" w:eastAsia="Book Antiqua" w:hAnsi="Book Antiqua" w:cs="Book Antiqua"/>
          <w:sz w:val="24"/>
          <w:szCs w:val="24"/>
        </w:rPr>
        <w:t>This research, titled “Strategies in Teaching English Speaking Skills in Grade 7 of Junior High Schools in Rural Areas,” aims to explore how English teachers at SMPN 1 Sekar and SMPN 2 Gondang apply strategies to enhance students' speaking abilities, despite the challenges of rural education.</w:t>
      </w:r>
    </w:p>
    <w:p w:rsidR="00D25697" w:rsidRPr="00FC238D" w:rsidRDefault="00D25697">
      <w:pPr>
        <w:spacing w:line="240" w:lineRule="auto"/>
        <w:ind w:firstLine="0"/>
        <w:rPr>
          <w:rFonts w:ascii="Book Antiqua" w:eastAsia="Book Antiqua" w:hAnsi="Book Antiqua" w:cs="Book Antiqua"/>
          <w:b/>
          <w:sz w:val="24"/>
          <w:szCs w:val="24"/>
        </w:rPr>
      </w:pPr>
    </w:p>
    <w:p w:rsidR="00D25697" w:rsidRPr="00FC238D" w:rsidRDefault="00000000">
      <w:pPr>
        <w:spacing w:line="240" w:lineRule="auto"/>
        <w:ind w:firstLine="0"/>
        <w:rPr>
          <w:rFonts w:ascii="Book Antiqua" w:eastAsia="Book Antiqua" w:hAnsi="Book Antiqua" w:cs="Book Antiqua"/>
          <w:b/>
          <w:sz w:val="24"/>
          <w:szCs w:val="24"/>
          <w:lang w:val="id-ID"/>
        </w:rPr>
      </w:pPr>
      <w:r w:rsidRPr="00FC238D">
        <w:rPr>
          <w:rFonts w:ascii="Book Antiqua" w:eastAsia="Book Antiqua" w:hAnsi="Book Antiqua" w:cs="Book Antiqua"/>
          <w:b/>
          <w:sz w:val="24"/>
          <w:szCs w:val="24"/>
          <w:lang w:val="id-ID"/>
        </w:rPr>
        <w:t>RESEARCH METHODS</w:t>
      </w:r>
    </w:p>
    <w:p w:rsidR="00D25697" w:rsidRPr="00FC238D" w:rsidRDefault="00000000" w:rsidP="00FC238D">
      <w:pPr>
        <w:spacing w:line="276" w:lineRule="auto"/>
        <w:ind w:firstLine="567"/>
        <w:rPr>
          <w:rFonts w:ascii="Book Antiqua" w:eastAsia="Book Antiqua" w:hAnsi="Book Antiqua" w:cs="Book Antiqua"/>
          <w:sz w:val="24"/>
          <w:szCs w:val="24"/>
          <w:lang w:val="id-ID"/>
        </w:rPr>
      </w:pPr>
      <w:r w:rsidRPr="00FC238D">
        <w:rPr>
          <w:rFonts w:ascii="Book Antiqua" w:eastAsia="Book Antiqua" w:hAnsi="Book Antiqua" w:cs="Book Antiqua"/>
          <w:sz w:val="24"/>
          <w:szCs w:val="24"/>
          <w:lang w:val="id-ID"/>
        </w:rPr>
        <w:t>This study employs a descriptive qualitative approach to explore the strategies used by teachers in improving English speaking skills among seventh-grade students in rural areas. The research was conducted in two junior high schools: SMPN 1 Sekar and SMPN 2 Gondang, both located in rural areas where challenges such as limited facilities, low motivation, and minimal exposure to English outside the classroom are present.</w:t>
      </w:r>
    </w:p>
    <w:p w:rsidR="00D25697" w:rsidRPr="00FC238D" w:rsidRDefault="00000000" w:rsidP="00FC238D">
      <w:pPr>
        <w:spacing w:line="276" w:lineRule="auto"/>
        <w:ind w:firstLine="567"/>
        <w:rPr>
          <w:rFonts w:ascii="Book Antiqua" w:eastAsia="Book Antiqua" w:hAnsi="Book Antiqua" w:cs="Book Antiqua"/>
          <w:sz w:val="24"/>
          <w:szCs w:val="24"/>
          <w:lang w:val="id-ID"/>
        </w:rPr>
      </w:pPr>
      <w:r w:rsidRPr="00FC238D">
        <w:rPr>
          <w:rFonts w:ascii="Book Antiqua" w:eastAsia="Book Antiqua" w:hAnsi="Book Antiqua" w:cs="Book Antiqua"/>
          <w:sz w:val="24"/>
          <w:szCs w:val="24"/>
          <w:lang w:val="id-ID"/>
        </w:rPr>
        <w:t xml:space="preserve">Data collection methods included observation, interviews, and documentation. Observations were conducted during English language classes to gain insight into the teaching strategies applied in real classroom settings. Interviews were held with the English teachers of the selected schools to gather deeper understanding of the techniques and challenges they face in teaching speaking skills. Documentation was </w:t>
      </w:r>
      <w:r w:rsidRPr="00FC238D">
        <w:rPr>
          <w:rFonts w:ascii="Book Antiqua" w:eastAsia="Book Antiqua" w:hAnsi="Book Antiqua" w:cs="Book Antiqua"/>
          <w:sz w:val="24"/>
          <w:szCs w:val="24"/>
          <w:lang w:val="id-ID"/>
        </w:rPr>
        <w:lastRenderedPageBreak/>
        <w:t>used to collect any relevant materials, lesson plans, or student work that could support the findings of this study.</w:t>
      </w:r>
    </w:p>
    <w:p w:rsidR="00D25697" w:rsidRPr="00FC238D" w:rsidRDefault="00000000" w:rsidP="00FC238D">
      <w:pPr>
        <w:spacing w:line="276" w:lineRule="auto"/>
        <w:ind w:firstLine="567"/>
        <w:rPr>
          <w:rFonts w:ascii="Book Antiqua" w:eastAsia="Book Antiqua" w:hAnsi="Book Antiqua" w:cs="Book Antiqua"/>
          <w:sz w:val="24"/>
          <w:szCs w:val="24"/>
          <w:lang w:val="id-ID"/>
        </w:rPr>
      </w:pPr>
      <w:r w:rsidRPr="00FC238D">
        <w:rPr>
          <w:rFonts w:ascii="Book Antiqua" w:eastAsia="Book Antiqua" w:hAnsi="Book Antiqua" w:cs="Book Antiqua"/>
          <w:sz w:val="24"/>
          <w:szCs w:val="24"/>
          <w:lang w:val="id-ID"/>
        </w:rPr>
        <w:t>The data gathered through these techniques were then analyzed qualitatively. The researcher selected the most relevant data, categorized it, and looked for patterns or themes that emerged during the observations and interviews. Triangulation was employed to verify the data by cross-checking information from the different data sources, namely the observations, interviews, and documents. This process helped ensure the validity and reliability of the findings.</w:t>
      </w:r>
    </w:p>
    <w:p w:rsidR="00D25697" w:rsidRPr="00FC238D" w:rsidRDefault="00000000" w:rsidP="00FC238D">
      <w:pPr>
        <w:spacing w:line="276" w:lineRule="auto"/>
        <w:ind w:firstLine="567"/>
        <w:rPr>
          <w:rFonts w:ascii="Book Antiqua" w:eastAsia="Book Antiqua" w:hAnsi="Book Antiqua" w:cs="Book Antiqua"/>
          <w:sz w:val="24"/>
          <w:szCs w:val="24"/>
          <w:lang w:val="id-ID"/>
        </w:rPr>
      </w:pPr>
      <w:r w:rsidRPr="00FC238D">
        <w:rPr>
          <w:rFonts w:ascii="Book Antiqua" w:eastAsia="Book Antiqua" w:hAnsi="Book Antiqua" w:cs="Book Antiqua"/>
          <w:sz w:val="24"/>
          <w:szCs w:val="24"/>
          <w:lang w:val="id-ID"/>
        </w:rPr>
        <w:t>By using this approach, the study aims to provide a comprehensive description of how teachers in rural areas address the challenges of teaching English speaking skills and the effectiveness of the strategies they use.</w:t>
      </w:r>
    </w:p>
    <w:p w:rsidR="00D25697" w:rsidRPr="00FC238D" w:rsidRDefault="00D25697">
      <w:pPr>
        <w:spacing w:line="240" w:lineRule="auto"/>
        <w:ind w:firstLine="0"/>
        <w:rPr>
          <w:rFonts w:ascii="Book Antiqua" w:eastAsia="Book Antiqua" w:hAnsi="Book Antiqua" w:cs="Book Antiqua"/>
          <w:b/>
          <w:sz w:val="24"/>
          <w:szCs w:val="24"/>
        </w:rPr>
      </w:pPr>
    </w:p>
    <w:p w:rsidR="00D25697" w:rsidRPr="00FC238D" w:rsidRDefault="00000000">
      <w:pPr>
        <w:spacing w:line="240" w:lineRule="auto"/>
        <w:ind w:firstLine="0"/>
        <w:rPr>
          <w:rFonts w:ascii="Book Antiqua" w:eastAsia="Book Antiqua" w:hAnsi="Book Antiqua" w:cs="Book Antiqua"/>
          <w:b/>
          <w:sz w:val="24"/>
          <w:szCs w:val="24"/>
          <w:lang w:val="id-ID"/>
        </w:rPr>
      </w:pPr>
      <w:r w:rsidRPr="00FC238D">
        <w:rPr>
          <w:rFonts w:ascii="Book Antiqua" w:eastAsia="Book Antiqua" w:hAnsi="Book Antiqua" w:cs="Book Antiqua"/>
          <w:b/>
          <w:sz w:val="24"/>
          <w:szCs w:val="24"/>
          <w:lang w:val="id-ID"/>
        </w:rPr>
        <w:t>RESULTS AND DISCUSSION</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 xml:space="preserve"> This study found that English teachers at SMPN 1 Sekar and SMPN 2 Gondang implemented various interactive strategies to enhance the speaking skills of seventh-grade students. The main strategies identified through observation, interviews, and documentation included role-play, group discussions, and storytelling. Each of these strategies played a significant role in encouraging students to use English actively in communicative contexts.</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Role-play was frequently used by teachers to simulate real-life situations. This method allowed students to practice speaking in a contextualized and meaningful way, which helped reduce their anxiety and built their confidence. For instance, students were asked to act out scenarios such as shopping, visiting a doctor, or being at a restaurant. These activities align with Harmer (2015), who emphasizes that role-play enables students to engage in authentic communication and makes language learning more memorable. Moreover, Ladousse (2014) notes that role-play is effective for shy students, as it provides a “mask” that allows them to express themselves more freely.</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Group discussion was another key strategy. Teachers divided students into small groups and provided them with engaging topics to discuss. In this collaborative setting, students had more opportunities to practice speaking in a low-pressure environment. The interactive nature of group discussions allowed students to build fluency and develop critical thinking as they exchanged ideas. Kayi-Aydar (2021) supports this by stating that group discussions promote peer interaction, which is essential for developing spoken fluency and learner autonomy. Additionally, discussions that are relevant to students’ lives tend to increase their motivation and participation (Richards, 2015).</w:t>
      </w:r>
    </w:p>
    <w:p w:rsidR="00D25697" w:rsidRPr="00FC238D" w:rsidRDefault="00000000" w:rsidP="00FC238D">
      <w:pPr>
        <w:spacing w:line="276" w:lineRule="auto"/>
        <w:ind w:firstLine="567"/>
        <w:rPr>
          <w:rFonts w:ascii="Book Antiqua" w:eastAsia="Book Antiqua" w:hAnsi="Book Antiqua" w:cs="Book Antiqua"/>
          <w:color w:val="000000"/>
          <w:sz w:val="24"/>
          <w:szCs w:val="24"/>
          <w:lang w:val="id-ID"/>
        </w:rPr>
      </w:pPr>
      <w:r w:rsidRPr="00FC238D">
        <w:rPr>
          <w:rFonts w:ascii="Book Antiqua" w:eastAsia="Book Antiqua" w:hAnsi="Book Antiqua" w:cs="Book Antiqua"/>
          <w:color w:val="000000"/>
          <w:sz w:val="24"/>
          <w:szCs w:val="24"/>
          <w:lang w:val="id-ID"/>
        </w:rPr>
        <w:t xml:space="preserve">Storytelling was also applied to strengthen students’ ability to organize their thoughts and speak coherently. Students were tasked with retelling short stories in their own words, which encouraged them to use new vocabulary and structure their sentences effectively. This strategy not only improved their fluency but also helped </w:t>
      </w:r>
      <w:r w:rsidRPr="00FC238D">
        <w:rPr>
          <w:rFonts w:ascii="Book Antiqua" w:eastAsia="Book Antiqua" w:hAnsi="Book Antiqua" w:cs="Book Antiqua"/>
          <w:color w:val="000000"/>
          <w:sz w:val="24"/>
          <w:szCs w:val="24"/>
          <w:lang w:val="id-ID"/>
        </w:rPr>
        <w:lastRenderedPageBreak/>
        <w:t>them develop narrative skills. According to Ismail et al. (2020), storytelling enhances both receptive and productive language skills and fosters creativity in language use. Furthermore, Wright (2016) argues that storytelling creates an emotional connection that boosts memory retention and language comprehension.</w:t>
      </w:r>
    </w:p>
    <w:p w:rsidR="00D25697" w:rsidRPr="00FC238D" w:rsidRDefault="00000000" w:rsidP="00FC238D">
      <w:pPr>
        <w:spacing w:line="276" w:lineRule="auto"/>
        <w:ind w:firstLine="567"/>
        <w:rPr>
          <w:rFonts w:ascii="Book Antiqua" w:eastAsia="Book Antiqua" w:hAnsi="Book Antiqua" w:cs="Book Antiqua"/>
          <w:color w:val="000000"/>
          <w:sz w:val="24"/>
          <w:szCs w:val="24"/>
          <w:lang w:val="id-ID"/>
        </w:rPr>
      </w:pPr>
      <w:r w:rsidRPr="00FC238D">
        <w:rPr>
          <w:rFonts w:ascii="Book Antiqua" w:eastAsia="Book Antiqua" w:hAnsi="Book Antiqua" w:cs="Book Antiqua"/>
          <w:color w:val="000000"/>
          <w:sz w:val="24"/>
          <w:szCs w:val="24"/>
          <w:lang w:val="id-ID"/>
        </w:rPr>
        <w:t>Despite the effectiveness of these strategies, the teachers encountered several challenges. Among the most pressing were limited infrastructure (e.g., absence of LCD projectors and audiovisual aids), unstable internet connection, and low student motivation, especially among students with weaker English proficiency. These issues reflect the general condition of many rural schools in Indonesia, as mentioned by Tirtanawati and Prastiwi (2023), who highlight that teaching English in rural settings requires not only pedagogical skills but also strong adaptability.</w:t>
      </w:r>
    </w:p>
    <w:p w:rsidR="00D25697" w:rsidRPr="00FC238D" w:rsidRDefault="00000000" w:rsidP="00FC238D">
      <w:pPr>
        <w:spacing w:line="276" w:lineRule="auto"/>
        <w:ind w:firstLine="567"/>
        <w:rPr>
          <w:rFonts w:ascii="Book Antiqua" w:eastAsia="Book Antiqua" w:hAnsi="Book Antiqua" w:cs="Book Antiqua"/>
          <w:color w:val="000000"/>
          <w:sz w:val="24"/>
          <w:szCs w:val="24"/>
          <w:lang w:val="id-ID"/>
        </w:rPr>
      </w:pPr>
      <w:r w:rsidRPr="00FC238D">
        <w:rPr>
          <w:rFonts w:ascii="Book Antiqua" w:eastAsia="Book Antiqua" w:hAnsi="Book Antiqua" w:cs="Book Antiqua"/>
          <w:color w:val="000000"/>
          <w:sz w:val="24"/>
          <w:szCs w:val="24"/>
          <w:lang w:val="id-ID"/>
        </w:rPr>
        <w:t>To address these challenges, the teachers demonstrated creativity and resilience. They utilized simple but effective teaching aids, such as picture cards, puppets, and open spaces for outdoor learning. These low-tech solutions created engaging environments that supported speaking activities even without modern tools. They also provided positive reinforcement, such as praise and constructive feedback, to build students’ confidence. According to Dörnyei and Ushioda (2021), emotional support and a positive classroom climate significantly influence learners’ willingness to communicate, especially in foreign language settings.</w:t>
      </w:r>
    </w:p>
    <w:p w:rsidR="00D25697" w:rsidRPr="00FC238D" w:rsidRDefault="00000000" w:rsidP="00FC238D">
      <w:pPr>
        <w:spacing w:line="276" w:lineRule="auto"/>
        <w:ind w:firstLine="567"/>
        <w:rPr>
          <w:rFonts w:ascii="Book Antiqua" w:eastAsia="Book Antiqua" w:hAnsi="Book Antiqua" w:cs="Book Antiqua"/>
          <w:color w:val="000000"/>
          <w:sz w:val="24"/>
          <w:szCs w:val="24"/>
          <w:lang w:val="id-ID"/>
        </w:rPr>
      </w:pPr>
      <w:r w:rsidRPr="00FC238D">
        <w:rPr>
          <w:rFonts w:ascii="Book Antiqua" w:eastAsia="Book Antiqua" w:hAnsi="Book Antiqua" w:cs="Book Antiqua"/>
          <w:color w:val="000000"/>
          <w:sz w:val="24"/>
          <w:szCs w:val="24"/>
          <w:lang w:val="id-ID"/>
        </w:rPr>
        <w:t>Furthermore, the data revealed that these strategies led to noticeable improvements in students’ speaking performance and confidence. Teachers reported that students who were initially reluctant to speak became more active and willing to participate in class activities. These findings are in line with Vygotsky’s (1978) sociocultural theory, which emphasizes the role of social interaction and supportive scaffolding in language development.</w:t>
      </w:r>
    </w:p>
    <w:p w:rsidR="00D25697" w:rsidRPr="00FC238D" w:rsidRDefault="00000000" w:rsidP="00FC238D">
      <w:pPr>
        <w:spacing w:line="276" w:lineRule="auto"/>
        <w:ind w:firstLine="567"/>
        <w:rPr>
          <w:rFonts w:ascii="Book Antiqua" w:eastAsia="Book Antiqua" w:hAnsi="Book Antiqua" w:cs="Book Antiqua"/>
          <w:color w:val="000000"/>
          <w:sz w:val="24"/>
          <w:szCs w:val="24"/>
          <w:lang w:val="id-ID"/>
        </w:rPr>
      </w:pPr>
      <w:r w:rsidRPr="00FC238D">
        <w:rPr>
          <w:rFonts w:ascii="Book Antiqua" w:eastAsia="Book Antiqua" w:hAnsi="Book Antiqua" w:cs="Book Antiqua"/>
          <w:color w:val="000000"/>
          <w:sz w:val="24"/>
          <w:szCs w:val="24"/>
          <w:lang w:val="id-ID"/>
        </w:rPr>
        <w:t>When compared to previous studies, such as the one by Tirtanawati and Prastiwi (2023), the current research shares similarities in the use of communicative strategies but also contributes a unique insight into how emotional support and context-based innovation are particularly important in rural settings. Teachers did not merely apply standard teaching methods but adapted them according to the needs of their students and the limitations of their environment.</w:t>
      </w:r>
    </w:p>
    <w:p w:rsidR="00D25697" w:rsidRPr="00FC238D" w:rsidRDefault="00000000" w:rsidP="00FC238D">
      <w:pPr>
        <w:spacing w:line="276" w:lineRule="auto"/>
        <w:ind w:firstLine="567"/>
        <w:rPr>
          <w:rFonts w:ascii="Book Antiqua" w:eastAsia="Book Antiqua" w:hAnsi="Book Antiqua" w:cs="Book Antiqua"/>
          <w:color w:val="000000"/>
          <w:sz w:val="24"/>
          <w:szCs w:val="24"/>
          <w:lang w:val="id-ID"/>
        </w:rPr>
      </w:pPr>
      <w:r w:rsidRPr="00FC238D">
        <w:rPr>
          <w:rFonts w:ascii="Book Antiqua" w:eastAsia="Book Antiqua" w:hAnsi="Book Antiqua" w:cs="Book Antiqua"/>
          <w:color w:val="000000"/>
          <w:sz w:val="24"/>
          <w:szCs w:val="24"/>
          <w:lang w:val="id-ID"/>
        </w:rPr>
        <w:t>In conclusion, the results highlight the importance of teacher creativity, contextual sensitivity, and emotional support in enhancing speaking skills in rural schools. While infrastructural support remains a crucial need, the proactive attitude of teachers plays a central role in transforming challenges into opportunities for effective language learning.</w:t>
      </w:r>
    </w:p>
    <w:p w:rsidR="00D25697" w:rsidRPr="00FC238D" w:rsidRDefault="00D25697">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rsidR="00D25697" w:rsidRPr="00FC238D" w:rsidRDefault="00000000">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lang w:val="id-ID"/>
        </w:rPr>
      </w:pPr>
      <w:r w:rsidRPr="00FC238D">
        <w:rPr>
          <w:rFonts w:ascii="Book Antiqua" w:eastAsia="Book Antiqua" w:hAnsi="Book Antiqua" w:cs="Book Antiqua"/>
          <w:b/>
          <w:color w:val="000000"/>
          <w:sz w:val="24"/>
          <w:szCs w:val="24"/>
          <w:lang w:val="id-ID"/>
        </w:rPr>
        <w:t>CONCLUSION</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 xml:space="preserve"> Based on the findings of this study, it can be concluded that the strategies implemented by teachers to improve English speaking skills in seventh-grade students at SMPN 1 Sekar and SMPN 2 Gondang are effective in enhancing student </w:t>
      </w:r>
      <w:r w:rsidRPr="00FC238D">
        <w:rPr>
          <w:rFonts w:ascii="Book Antiqua" w:eastAsia="Book Antiqua" w:hAnsi="Book Antiqua" w:cs="Book Antiqua"/>
          <w:sz w:val="24"/>
          <w:szCs w:val="24"/>
        </w:rPr>
        <w:lastRenderedPageBreak/>
        <w:t>engagement and speaking abilities. The teachers have successfully used various strategies such as role-play, group discussions, and storytelling to encourage students to actively participate in speaking activities.</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Despite the challenges faced in rural areas, such as limited facilities and low student motivation, the teachers have shown great effort in overcoming these obstacles by using innovative methods and creating a positive, supportive, and interactive learning environment. The use of these strategies has not only improved students' speaking skills but also helped build their confidence in speaking English.</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It is clear that although the current strategies are effective, there is still a need for additional support in terms of better facilities and access to technology to further optimize the learning process. Teachers in rural areas need more resources to improve the quality of learning and to provide more comprehensive support for their students' language development. Therefore, the success of teaching speaking skills in rural areas depends on both teacher creativity and external support in overcoming challenges.</w:t>
      </w:r>
    </w:p>
    <w:p w:rsidR="00D25697" w:rsidRPr="00FC238D" w:rsidRDefault="00D25697">
      <w:pPr>
        <w:ind w:firstLine="567"/>
        <w:rPr>
          <w:rFonts w:ascii="Book Antiqua" w:hAnsi="Book Antiqua"/>
          <w:lang w:val="id-ID"/>
        </w:rPr>
      </w:pPr>
    </w:p>
    <w:p w:rsidR="00D25697" w:rsidRPr="00FC238D" w:rsidRDefault="00000000">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lang w:val="id-ID"/>
        </w:rPr>
      </w:pPr>
      <w:r w:rsidRPr="00FC238D">
        <w:rPr>
          <w:rFonts w:ascii="Book Antiqua" w:eastAsia="Book Antiqua" w:hAnsi="Book Antiqua" w:cs="Book Antiqua"/>
          <w:b/>
          <w:color w:val="000000"/>
          <w:sz w:val="24"/>
          <w:szCs w:val="24"/>
          <w:lang w:val="id-ID"/>
        </w:rPr>
        <w:t>ACKNOWLEDGMENTS</w:t>
      </w:r>
    </w:p>
    <w:p w:rsidR="00D25697" w:rsidRPr="00FC238D" w:rsidRDefault="00000000" w:rsidP="00FC238D">
      <w:pPr>
        <w:spacing w:line="276" w:lineRule="auto"/>
        <w:ind w:firstLine="567"/>
        <w:rPr>
          <w:rFonts w:ascii="Book Antiqua" w:eastAsia="Book Antiqua" w:hAnsi="Book Antiqua" w:cs="Book Antiqua"/>
          <w:sz w:val="24"/>
          <w:szCs w:val="24"/>
        </w:rPr>
      </w:pPr>
      <w:r w:rsidRPr="00FC238D">
        <w:rPr>
          <w:rFonts w:ascii="Book Antiqua" w:eastAsia="Book Antiqua" w:hAnsi="Book Antiqua" w:cs="Book Antiqua"/>
          <w:sz w:val="24"/>
          <w:szCs w:val="24"/>
        </w:rPr>
        <w:t xml:space="preserve"> The authors would like to thank the supervisors for their guidance throughout this research. Special thanks are also extended to the principal, the English teacher, and the students of SMPN 1 Sekar and SMPN 2 Gondang for their participation and support during the data collection process.</w:t>
      </w:r>
    </w:p>
    <w:p w:rsidR="00D25697" w:rsidRPr="00FC238D" w:rsidRDefault="00D25697">
      <w:pPr>
        <w:ind w:firstLine="0"/>
        <w:rPr>
          <w:rFonts w:ascii="Book Antiqua" w:eastAsia="Book Antiqua" w:hAnsi="Book Antiqua" w:cs="Book Antiqua"/>
          <w:sz w:val="24"/>
          <w:szCs w:val="24"/>
        </w:rPr>
      </w:pPr>
    </w:p>
    <w:p w:rsidR="00D25697" w:rsidRPr="00FC238D" w:rsidRDefault="00000000">
      <w:pPr>
        <w:ind w:firstLine="0"/>
        <w:rPr>
          <w:rFonts w:ascii="Book Antiqua" w:eastAsia="Book Antiqua" w:hAnsi="Book Antiqua" w:cs="Book Antiqua"/>
          <w:b/>
          <w:bCs/>
          <w:sz w:val="24"/>
          <w:szCs w:val="24"/>
          <w:lang w:val="id-ID"/>
        </w:rPr>
      </w:pPr>
      <w:r w:rsidRPr="00FC238D">
        <w:rPr>
          <w:rFonts w:ascii="Book Antiqua" w:eastAsia="Book Antiqua" w:hAnsi="Book Antiqua" w:cs="Book Antiqua"/>
          <w:b/>
          <w:bCs/>
          <w:sz w:val="24"/>
          <w:szCs w:val="24"/>
          <w:lang w:val="id-ID"/>
        </w:rPr>
        <w:t>REFERENCES</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Azizah, A. N., Tirtanawati, F., &amp; Prastiwi, Y. (2023). Boosting students’ speaking skills through English competitions in rural schools. Journal of English Language Teaching and Linguistics, 8(1), 45–58.</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color w:val="000000"/>
          <w:sz w:val="24"/>
          <w:szCs w:val="24"/>
        </w:rPr>
        <w:t xml:space="preserve">Braun, V., &amp; Clarke, V. (2006). Using thematic analysis in psychology. </w:t>
      </w:r>
      <w:r w:rsidRPr="00FC238D">
        <w:rPr>
          <w:rFonts w:ascii="Book Antiqua" w:eastAsia="Book Antiqua" w:hAnsi="Book Antiqua" w:cs="Book Antiqua"/>
          <w:i/>
          <w:iCs/>
          <w:color w:val="000000"/>
          <w:sz w:val="24"/>
          <w:szCs w:val="24"/>
        </w:rPr>
        <w:t>Qualitative Research in Psychology, 3</w:t>
      </w:r>
      <w:r w:rsidRPr="00FC238D">
        <w:rPr>
          <w:rFonts w:ascii="Book Antiqua" w:eastAsia="Book Antiqua" w:hAnsi="Book Antiqua" w:cs="Book Antiqua"/>
          <w:color w:val="000000"/>
          <w:sz w:val="24"/>
          <w:szCs w:val="24"/>
        </w:rPr>
        <w:t xml:space="preserve">(2), 77–101. </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Brown, H. D. (2015). </w:t>
      </w:r>
      <w:r w:rsidRPr="00FC238D">
        <w:rPr>
          <w:rFonts w:ascii="Book Antiqua" w:eastAsia="Book Antiqua" w:hAnsi="Book Antiqua" w:cs="Book Antiqua"/>
          <w:i/>
          <w:iCs/>
          <w:sz w:val="24"/>
          <w:szCs w:val="24"/>
          <w:lang w:val="id-ID"/>
        </w:rPr>
        <w:t>Teaching by principles: An interactive approach to language pedagogy (4th ed.)</w:t>
      </w:r>
      <w:r w:rsidRPr="00FC238D">
        <w:rPr>
          <w:rFonts w:ascii="Book Antiqua" w:eastAsia="Book Antiqua" w:hAnsi="Book Antiqua" w:cs="Book Antiqua"/>
          <w:sz w:val="24"/>
          <w:szCs w:val="24"/>
          <w:lang w:val="id-ID"/>
        </w:rPr>
        <w:t>. Pearson Education.</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Dörnyei, Z., &amp; Ushioda, E. (2021). </w:t>
      </w:r>
      <w:r w:rsidRPr="00FC238D">
        <w:rPr>
          <w:rFonts w:ascii="Book Antiqua" w:eastAsia="Book Antiqua" w:hAnsi="Book Antiqua" w:cs="Book Antiqua"/>
          <w:i/>
          <w:iCs/>
          <w:sz w:val="24"/>
          <w:szCs w:val="24"/>
          <w:lang w:val="id-ID"/>
        </w:rPr>
        <w:t>Teaching and researching motivation (3rd ed.)</w:t>
      </w:r>
      <w:r w:rsidRPr="00FC238D">
        <w:rPr>
          <w:rFonts w:ascii="Book Antiqua" w:eastAsia="Book Antiqua" w:hAnsi="Book Antiqua" w:cs="Book Antiqua"/>
          <w:sz w:val="24"/>
          <w:szCs w:val="24"/>
          <w:lang w:val="id-ID"/>
        </w:rPr>
        <w:t>. Routledge.</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Harmer, J. (2015). </w:t>
      </w:r>
      <w:r w:rsidRPr="00FC238D">
        <w:rPr>
          <w:rFonts w:ascii="Book Antiqua" w:eastAsia="Book Antiqua" w:hAnsi="Book Antiqua" w:cs="Book Antiqua"/>
          <w:i/>
          <w:iCs/>
          <w:sz w:val="24"/>
          <w:szCs w:val="24"/>
          <w:lang w:val="id-ID"/>
        </w:rPr>
        <w:t>The practice of English language teaching (5th ed.)</w:t>
      </w:r>
      <w:r w:rsidRPr="00FC238D">
        <w:rPr>
          <w:rFonts w:ascii="Book Antiqua" w:eastAsia="Book Antiqua" w:hAnsi="Book Antiqua" w:cs="Book Antiqua"/>
          <w:sz w:val="24"/>
          <w:szCs w:val="24"/>
          <w:lang w:val="id-ID"/>
        </w:rPr>
        <w:t>. Pearson Education.</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Ismail, S., Rahim, R. A., &amp; Ahmad, A. R. (2020). The effectiveness of storytelling in enhancing English speaking skills. </w:t>
      </w:r>
      <w:r w:rsidRPr="00FC238D">
        <w:rPr>
          <w:rFonts w:ascii="Book Antiqua" w:eastAsia="Book Antiqua" w:hAnsi="Book Antiqua" w:cs="Book Antiqua"/>
          <w:i/>
          <w:iCs/>
          <w:sz w:val="24"/>
          <w:szCs w:val="24"/>
          <w:lang w:val="id-ID"/>
        </w:rPr>
        <w:t>International Journal of Academic Research in Business and Social Sciences, 10</w:t>
      </w:r>
      <w:r w:rsidRPr="00FC238D">
        <w:rPr>
          <w:rFonts w:ascii="Book Antiqua" w:eastAsia="Book Antiqua" w:hAnsi="Book Antiqua" w:cs="Book Antiqua"/>
          <w:sz w:val="24"/>
          <w:szCs w:val="24"/>
          <w:lang w:val="id-ID"/>
        </w:rPr>
        <w:t xml:space="preserve">(6), 235–248. </w:t>
      </w:r>
      <w:hyperlink r:id="rId9" w:history="1">
        <w:r w:rsidRPr="00FC238D">
          <w:rPr>
            <w:rStyle w:val="Hyperlink"/>
            <w:rFonts w:ascii="Book Antiqua" w:eastAsia="Book Antiqua" w:hAnsi="Book Antiqua" w:cs="Book Antiqua"/>
            <w:sz w:val="24"/>
            <w:szCs w:val="24"/>
            <w:lang w:val="id-ID"/>
          </w:rPr>
          <w:t>https://doi.org/10.6007/IJARBSS/v10-i6/7293</w:t>
        </w:r>
      </w:hyperlink>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Kayi-Aydar, H. (2021). </w:t>
      </w:r>
      <w:r w:rsidRPr="00FC238D">
        <w:rPr>
          <w:rFonts w:ascii="Book Antiqua" w:eastAsia="Book Antiqua" w:hAnsi="Book Antiqua" w:cs="Book Antiqua"/>
          <w:i/>
          <w:iCs/>
          <w:sz w:val="24"/>
          <w:szCs w:val="24"/>
          <w:lang w:val="id-ID"/>
        </w:rPr>
        <w:t>Classroom discourse and interaction: Multimodal approaches to teaching speaking</w:t>
      </w:r>
      <w:r w:rsidRPr="00FC238D">
        <w:rPr>
          <w:rFonts w:ascii="Book Antiqua" w:eastAsia="Book Antiqua" w:hAnsi="Book Antiqua" w:cs="Book Antiqua"/>
          <w:sz w:val="24"/>
          <w:szCs w:val="24"/>
          <w:lang w:val="id-ID"/>
        </w:rPr>
        <w:t>. Springer.</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lastRenderedPageBreak/>
        <w:t xml:space="preserve">Ladousse, G. P. (2014). </w:t>
      </w:r>
      <w:r w:rsidRPr="00FC238D">
        <w:rPr>
          <w:rFonts w:ascii="Book Antiqua" w:eastAsia="Book Antiqua" w:hAnsi="Book Antiqua" w:cs="Book Antiqua"/>
          <w:i/>
          <w:iCs/>
          <w:sz w:val="24"/>
          <w:szCs w:val="24"/>
          <w:lang w:val="id-ID"/>
        </w:rPr>
        <w:t>Role play (12th ed.).</w:t>
      </w:r>
      <w:r w:rsidRPr="00FC238D">
        <w:rPr>
          <w:rFonts w:ascii="Book Antiqua" w:eastAsia="Book Antiqua" w:hAnsi="Book Antiqua" w:cs="Book Antiqua"/>
          <w:sz w:val="24"/>
          <w:szCs w:val="24"/>
          <w:lang w:val="id-ID"/>
        </w:rPr>
        <w:t xml:space="preserve"> Oxford University Press.</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Richards, J. C. (2015). </w:t>
      </w:r>
      <w:r w:rsidRPr="00FC238D">
        <w:rPr>
          <w:rFonts w:ascii="Book Antiqua" w:eastAsia="Book Antiqua" w:hAnsi="Book Antiqua" w:cs="Book Antiqua"/>
          <w:i/>
          <w:iCs/>
          <w:sz w:val="24"/>
          <w:szCs w:val="24"/>
          <w:lang w:val="id-ID"/>
        </w:rPr>
        <w:t>Key issues in language teaching</w:t>
      </w:r>
      <w:r w:rsidRPr="00FC238D">
        <w:rPr>
          <w:rFonts w:ascii="Book Antiqua" w:eastAsia="Book Antiqua" w:hAnsi="Book Antiqua" w:cs="Book Antiqua"/>
          <w:sz w:val="24"/>
          <w:szCs w:val="24"/>
          <w:lang w:val="id-ID"/>
        </w:rPr>
        <w:t>. Cambridge University Press.</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Tirtanawati, F., &amp; Prastiwi, Y. (2023). Strategies of English teachers in rural areas: Adapting to challenges and limitations. </w:t>
      </w:r>
      <w:r w:rsidRPr="00FC238D">
        <w:rPr>
          <w:rFonts w:ascii="Book Antiqua" w:eastAsia="Book Antiqua" w:hAnsi="Book Antiqua" w:cs="Book Antiqua"/>
          <w:i/>
          <w:iCs/>
          <w:sz w:val="24"/>
          <w:szCs w:val="24"/>
          <w:lang w:val="id-ID"/>
        </w:rPr>
        <w:t>ELT Journal: Education and Language Teaching, 7</w:t>
      </w:r>
      <w:r w:rsidRPr="00FC238D">
        <w:rPr>
          <w:rFonts w:ascii="Book Antiqua" w:eastAsia="Book Antiqua" w:hAnsi="Book Antiqua" w:cs="Book Antiqua"/>
          <w:sz w:val="24"/>
          <w:szCs w:val="24"/>
          <w:lang w:val="id-ID"/>
        </w:rPr>
        <w:t>(2), 112–124.</w:t>
      </w:r>
    </w:p>
    <w:p w:rsidR="00FC238D" w:rsidRP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Vygotsky, L. S. (1978). </w:t>
      </w:r>
      <w:r w:rsidRPr="00FC238D">
        <w:rPr>
          <w:rFonts w:ascii="Book Antiqua" w:eastAsia="Book Antiqua" w:hAnsi="Book Antiqua" w:cs="Book Antiqua"/>
          <w:i/>
          <w:iCs/>
          <w:sz w:val="24"/>
          <w:szCs w:val="24"/>
          <w:lang w:val="id-ID"/>
        </w:rPr>
        <w:t>Mind in society: The development of higher psychological processes</w:t>
      </w:r>
      <w:r w:rsidRPr="00FC238D">
        <w:rPr>
          <w:rFonts w:ascii="Book Antiqua" w:eastAsia="Book Antiqua" w:hAnsi="Book Antiqua" w:cs="Book Antiqua"/>
          <w:sz w:val="24"/>
          <w:szCs w:val="24"/>
          <w:lang w:val="id-ID"/>
        </w:rPr>
        <w:t>. Harvard University Press.</w:t>
      </w:r>
    </w:p>
    <w:p w:rsidR="00FC238D" w:rsidRDefault="00FC238D">
      <w:pPr>
        <w:spacing w:after="200" w:line="240" w:lineRule="auto"/>
        <w:ind w:left="567" w:hanging="567"/>
        <w:rPr>
          <w:rFonts w:ascii="Book Antiqua" w:eastAsia="Book Antiqua" w:hAnsi="Book Antiqua" w:cs="Book Antiqua"/>
          <w:color w:val="000000"/>
          <w:sz w:val="24"/>
          <w:szCs w:val="24"/>
        </w:rPr>
      </w:pPr>
      <w:r w:rsidRPr="00FC238D">
        <w:rPr>
          <w:rFonts w:ascii="Book Antiqua" w:eastAsia="Book Antiqua" w:hAnsi="Book Antiqua" w:cs="Book Antiqua"/>
          <w:sz w:val="24"/>
          <w:szCs w:val="24"/>
          <w:lang w:val="id-ID"/>
        </w:rPr>
        <w:t xml:space="preserve">Wright, A. (2016). </w:t>
      </w:r>
      <w:r w:rsidRPr="00FC238D">
        <w:rPr>
          <w:rFonts w:ascii="Book Antiqua" w:eastAsia="Book Antiqua" w:hAnsi="Book Antiqua" w:cs="Book Antiqua"/>
          <w:i/>
          <w:iCs/>
          <w:sz w:val="24"/>
          <w:szCs w:val="24"/>
          <w:lang w:val="id-ID"/>
        </w:rPr>
        <w:t>Storytelling with children (2nd ed.)</w:t>
      </w:r>
      <w:r w:rsidRPr="00FC238D">
        <w:rPr>
          <w:rFonts w:ascii="Book Antiqua" w:eastAsia="Book Antiqua" w:hAnsi="Book Antiqua" w:cs="Book Antiqua"/>
          <w:sz w:val="24"/>
          <w:szCs w:val="24"/>
          <w:lang w:val="id-ID"/>
        </w:rPr>
        <w:t>. O</w:t>
      </w:r>
      <w:r>
        <w:rPr>
          <w:rFonts w:ascii="Book Antiqua" w:eastAsia="Book Antiqua" w:hAnsi="Book Antiqua" w:cs="Book Antiqua"/>
          <w:sz w:val="24"/>
          <w:szCs w:val="24"/>
          <w:lang w:val="id-ID"/>
        </w:rPr>
        <w:t>xford University Press.</w:t>
      </w:r>
    </w:p>
    <w:sectPr w:rsidR="00FC238D">
      <w:headerReference w:type="default" r:id="rId10"/>
      <w:footerReference w:type="default" r:id="rId11"/>
      <w:headerReference w:type="first" r:id="rId12"/>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784F" w:rsidRDefault="0087784F">
      <w:pPr>
        <w:spacing w:line="240" w:lineRule="auto"/>
      </w:pPr>
      <w:r>
        <w:separator/>
      </w:r>
    </w:p>
  </w:endnote>
  <w:endnote w:type="continuationSeparator" w:id="0">
    <w:p w:rsidR="0087784F" w:rsidRDefault="00877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ncing Script">
    <w:altName w:val="Calibri"/>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rif">
    <w:altName w:val="Times New Roman"/>
    <w:charset w:val="00"/>
    <w:family w:val="roman"/>
    <w:pitch w:val="variable"/>
    <w:sig w:usb0="20007A87" w:usb1="80000000" w:usb2="00000008"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5697" w:rsidRDefault="00FC238D">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noProof/>
      </w:rPr>
      <mc:AlternateContent>
        <mc:Choice Requires="wps">
          <w:drawing>
            <wp:anchor distT="0" distB="0" distL="114300" distR="114300" simplePos="0" relativeHeight="251659264" behindDoc="0" locked="0" layoutInCell="1" allowOverlap="1" wp14:anchorId="0F0B328D" wp14:editId="3B9F04FE">
              <wp:simplePos x="0" y="0"/>
              <wp:positionH relativeFrom="column">
                <wp:posOffset>0</wp:posOffset>
              </wp:positionH>
              <wp:positionV relativeFrom="paragraph">
                <wp:posOffset>-25400</wp:posOffset>
              </wp:positionV>
              <wp:extent cx="5743575" cy="25400"/>
              <wp:effectExtent l="0" t="0" r="28575" b="3175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240B13C" id="_x0000_t32" coordsize="21600,21600" o:spt="32" o:oned="t" path="m,l21600,21600e" filled="f">
              <v:path arrowok="t" fillok="f" o:connecttype="none"/>
              <o:lock v:ext="edit" shapetype="t"/>
            </v:shapetype>
            <v:shape id="Straight Arrow Connector 3" o:spid="_x0000_s1026" type="#_x0000_t32" style="position:absolute;margin-left:0;margin-top:-2pt;width:452.25pt;height:2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" strokecolor="black [3200]" strokeweight="2pt">
              <v:stroke startarrowwidth="narrow" startarrowlength="short" endarrowwidth="narrow" endarrowlength="short"/>
              <o:lock v:ext="edit" shapetype="f"/>
            </v:shape>
          </w:pict>
        </mc:Fallback>
      </mc:AlternateContent>
    </w:r>
    <w:r>
      <w:rPr>
        <w:rFonts w:ascii="Book Antiqua" w:eastAsia="Book Antiqua" w:hAnsi="Book Antiqua" w:cs="Book Antiqua"/>
        <w:color w:val="000000"/>
        <w:sz w:val="18"/>
        <w:szCs w:val="18"/>
      </w:rPr>
      <w:t>Bojonegoro, 15 Mei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5</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784F" w:rsidRDefault="0087784F">
      <w:pPr>
        <w:spacing w:line="240" w:lineRule="auto"/>
      </w:pPr>
      <w:r>
        <w:separator/>
      </w:r>
    </w:p>
  </w:footnote>
  <w:footnote w:type="continuationSeparator" w:id="0">
    <w:p w:rsidR="0087784F" w:rsidRDefault="00877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5697" w:rsidRDefault="00FC238D">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Dina Susanti, et al.</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t>Strategies in Teaching….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5697"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97"/>
    <w:rsid w:val="001071C5"/>
    <w:rsid w:val="002E7C57"/>
    <w:rsid w:val="0055304D"/>
    <w:rsid w:val="0087784F"/>
    <w:rsid w:val="00D25697"/>
    <w:rsid w:val="00E22E9D"/>
    <w:rsid w:val="00FC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6C72"/>
  <w15:docId w15:val="{40F82C44-713F-4152-95B6-9416DD97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s="SimSun"/>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s="SimSun"/>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s="SimSun"/>
      <w:color w:val="595959"/>
    </w:rPr>
  </w:style>
  <w:style w:type="paragraph" w:styleId="Heading8">
    <w:name w:val="heading 8"/>
    <w:basedOn w:val="Normal"/>
    <w:next w:val="Normal"/>
    <w:link w:val="Heading8Char"/>
    <w:uiPriority w:val="9"/>
    <w:qFormat/>
    <w:pPr>
      <w:keepNext/>
      <w:keepLines/>
      <w:outlineLvl w:val="7"/>
    </w:pPr>
    <w:rPr>
      <w:rFonts w:eastAsia="SimSun" w:cs="SimSun"/>
      <w:i/>
      <w:iCs/>
      <w:color w:val="272727"/>
    </w:rPr>
  </w:style>
  <w:style w:type="paragraph" w:styleId="Heading9">
    <w:name w:val="heading 9"/>
    <w:basedOn w:val="Normal"/>
    <w:next w:val="Normal"/>
    <w:link w:val="Heading9Char"/>
    <w:uiPriority w:val="9"/>
    <w:qFormat/>
    <w:pPr>
      <w:keepNext/>
      <w:keepLines/>
      <w:outlineLvl w:val="8"/>
    </w:pPr>
    <w:rPr>
      <w:rFonts w:eastAsia="SimSun" w:cs="SimSu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ind w:firstLine="227"/>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de-DE"/>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kern w:val="0"/>
      <w:sz w:val="16"/>
      <w:szCs w:val="16"/>
      <w:lang w:eastAsia="de-DE"/>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FC2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anmekadhina@gmail.com,%20meiga_ratih@ikippgribojonegoro.ac.i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6007/IJARBSS/v10-i6/72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Dwi Setyawan</cp:lastModifiedBy>
  <cp:revision>4</cp:revision>
  <dcterms:created xsi:type="dcterms:W3CDTF">2025-05-14T15:02:00Z</dcterms:created>
  <dcterms:modified xsi:type="dcterms:W3CDTF">2025-05-29T16:34:00Z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05874333fac148a59c828b43fc229e9d</vt:lpwstr>
  </property>
</Properties>
</file>