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1B30B" w14:textId="77777777" w:rsidR="00415F2C" w:rsidRDefault="00522BE9">
      <w:pPr>
        <w:keepNext/>
        <w:keepLines/>
        <w:spacing w:line="240" w:lineRule="auto"/>
        <w:ind w:left="1440" w:firstLine="0"/>
        <w:rPr>
          <w:rFonts w:ascii="Dancing Script" w:eastAsia="Dancing Script" w:hAnsi="Dancing Script" w:cs="Dancing Script"/>
          <w:b/>
          <w:color w:val="000000"/>
          <w:sz w:val="24"/>
          <w:szCs w:val="24"/>
        </w:rPr>
      </w:pPr>
      <w:r>
        <w:rPr>
          <w:noProof/>
        </w:rPr>
        <w:drawing>
          <wp:anchor distT="0" distB="0" distL="114300" distR="114300" simplePos="0" relativeHeight="251660288" behindDoc="0" locked="0" layoutInCell="1" allowOverlap="1" wp14:anchorId="10B66705" wp14:editId="409ADFB7">
            <wp:simplePos x="0" y="0"/>
            <wp:positionH relativeFrom="column">
              <wp:posOffset>4875530</wp:posOffset>
            </wp:positionH>
            <wp:positionV relativeFrom="paragraph">
              <wp:posOffset>13970</wp:posOffset>
            </wp:positionV>
            <wp:extent cx="863600" cy="863600"/>
            <wp:effectExtent l="0" t="0" r="0" b="0"/>
            <wp:wrapNone/>
            <wp:docPr id="258025381" name="image2.png"/>
            <wp:cNvGraphicFramePr/>
            <a:graphic xmlns:a="http://schemas.openxmlformats.org/drawingml/2006/main">
              <a:graphicData uri="http://schemas.openxmlformats.org/drawingml/2006/picture">
                <pic:pic xmlns:pic="http://schemas.openxmlformats.org/drawingml/2006/picture">
                  <pic:nvPicPr>
                    <pic:cNvPr id="258025381" name="image2.png"/>
                    <pic:cNvPicPr preferRelativeResize="0"/>
                  </pic:nvPicPr>
                  <pic:blipFill>
                    <a:blip r:embed="rId7" cstate="email"/>
                    <a:srcRect/>
                    <a:stretch>
                      <a:fillRect/>
                    </a:stretch>
                  </pic:blipFill>
                  <pic:spPr>
                    <a:xfrm>
                      <a:off x="0" y="0"/>
                      <a:ext cx="863600" cy="863600"/>
                    </a:xfrm>
                    <a:prstGeom prst="rect">
                      <a:avLst/>
                    </a:prstGeom>
                  </pic:spPr>
                </pic:pic>
              </a:graphicData>
            </a:graphic>
          </wp:anchor>
        </w:drawing>
      </w:r>
      <w:r>
        <w:rPr>
          <w:noProof/>
        </w:rPr>
        <w:drawing>
          <wp:anchor distT="0" distB="0" distL="114300" distR="114300" simplePos="0" relativeHeight="251659264" behindDoc="0" locked="0" layoutInCell="1" allowOverlap="1" wp14:anchorId="10855277" wp14:editId="65B950AE">
            <wp:simplePos x="0" y="0"/>
            <wp:positionH relativeFrom="column">
              <wp:posOffset>-25400</wp:posOffset>
            </wp:positionH>
            <wp:positionV relativeFrom="paragraph">
              <wp:posOffset>8255</wp:posOffset>
            </wp:positionV>
            <wp:extent cx="876300" cy="897890"/>
            <wp:effectExtent l="0" t="0" r="0" b="0"/>
            <wp:wrapNone/>
            <wp:docPr id="258025380" name="image5.png"/>
            <wp:cNvGraphicFramePr/>
            <a:graphic xmlns:a="http://schemas.openxmlformats.org/drawingml/2006/main">
              <a:graphicData uri="http://schemas.openxmlformats.org/drawingml/2006/picture">
                <pic:pic xmlns:pic="http://schemas.openxmlformats.org/drawingml/2006/picture">
                  <pic:nvPicPr>
                    <pic:cNvPr id="258025380" name="image5.png"/>
                    <pic:cNvPicPr preferRelativeResize="0"/>
                  </pic:nvPicPr>
                  <pic:blipFill>
                    <a:blip r:embed="rId8" cstate="screen"/>
                    <a:stretch>
                      <a:fillRect/>
                    </a:stretch>
                  </pic:blipFill>
                  <pic:spPr>
                    <a:xfrm>
                      <a:off x="0" y="0"/>
                      <a:ext cx="876300" cy="897718"/>
                    </a:xfrm>
                    <a:prstGeom prst="rect">
                      <a:avLst/>
                    </a:prstGeom>
                  </pic:spPr>
                </pic:pic>
              </a:graphicData>
            </a:graphic>
          </wp:anchor>
        </w:drawing>
      </w:r>
      <w:r>
        <w:rPr>
          <w:rFonts w:ascii="Dancing Script" w:eastAsia="Dancing Script" w:hAnsi="Dancing Script" w:cs="Dancing Script"/>
          <w:b/>
          <w:color w:val="000000"/>
          <w:sz w:val="24"/>
          <w:szCs w:val="24"/>
        </w:rPr>
        <w:t>Prosiding</w:t>
      </w:r>
    </w:p>
    <w:p w14:paraId="1AAE8E1B" w14:textId="77777777" w:rsidR="00415F2C" w:rsidRDefault="00522BE9">
      <w:pPr>
        <w:keepNext/>
        <w:keepLines/>
        <w:spacing w:line="240" w:lineRule="auto"/>
        <w:ind w:left="1440" w:firstLine="0"/>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 xml:space="preserve">Seminar Nasional </w:t>
      </w:r>
    </w:p>
    <w:p w14:paraId="358E64DF" w14:textId="77777777" w:rsidR="00415F2C" w:rsidRDefault="00522BE9">
      <w:pPr>
        <w:spacing w:line="240" w:lineRule="auto"/>
        <w:ind w:left="1440" w:firstLine="0"/>
        <w:rPr>
          <w:rFonts w:ascii="Book Antiqua" w:eastAsia="Book Antiqua" w:hAnsi="Book Antiqua" w:cs="Book Antiqua"/>
          <w:b/>
          <w:color w:val="000000"/>
          <w:sz w:val="22"/>
          <w:szCs w:val="22"/>
        </w:rPr>
      </w:pPr>
      <w:r>
        <w:rPr>
          <w:b/>
          <w:color w:val="000000"/>
          <w:sz w:val="18"/>
          <w:szCs w:val="18"/>
        </w:rPr>
        <w:t>Unit Kegiatan Mahasiswa Penalaran dan Riset</w:t>
      </w:r>
    </w:p>
    <w:p w14:paraId="32C0884B" w14:textId="77777777" w:rsidR="00415F2C" w:rsidRDefault="00522BE9">
      <w:pPr>
        <w:spacing w:line="240" w:lineRule="auto"/>
        <w:ind w:firstLine="0"/>
        <w:rPr>
          <w:b/>
          <w:color w:val="000000"/>
          <w:sz w:val="18"/>
          <w:szCs w:val="18"/>
        </w:rPr>
      </w:pPr>
      <w:r>
        <w:rPr>
          <w:color w:val="000000"/>
          <w:sz w:val="18"/>
          <w:szCs w:val="18"/>
        </w:rPr>
        <w:tab/>
      </w:r>
      <w:r>
        <w:rPr>
          <w:color w:val="000000"/>
          <w:sz w:val="18"/>
          <w:szCs w:val="18"/>
        </w:rPr>
        <w:tab/>
      </w:r>
      <w:r>
        <w:rPr>
          <w:b/>
          <w:color w:val="000000"/>
          <w:sz w:val="18"/>
          <w:szCs w:val="18"/>
        </w:rPr>
        <w:t>IKIP PGRI Bojonegoro</w:t>
      </w:r>
    </w:p>
    <w:p w14:paraId="1F397173" w14:textId="77777777" w:rsidR="00415F2C" w:rsidRDefault="00522BE9">
      <w:pPr>
        <w:spacing w:line="240" w:lineRule="auto"/>
        <w:ind w:left="1418" w:right="1371" w:firstLine="0"/>
        <w:rPr>
          <w:i/>
          <w:color w:val="000000"/>
          <w:sz w:val="18"/>
          <w:szCs w:val="18"/>
        </w:rPr>
      </w:pPr>
      <w:r>
        <w:rPr>
          <w:i/>
          <w:color w:val="000000"/>
          <w:sz w:val="18"/>
          <w:szCs w:val="18"/>
        </w:rPr>
        <w:t>Tema “Eksplorasi Penalaran dalam Riset untuk Meningkatkan Kualitas Publikasi Ilmiah”</w:t>
      </w:r>
    </w:p>
    <w:p w14:paraId="79C21833" w14:textId="77777777" w:rsidR="00415F2C" w:rsidRDefault="00522BE9">
      <w:pPr>
        <w:keepNext/>
        <w:keepLines/>
        <w:spacing w:line="240" w:lineRule="auto"/>
        <w:ind w:firstLine="0"/>
        <w:jc w:val="left"/>
        <w:rPr>
          <w:rFonts w:ascii="Book Antiqua" w:eastAsia="Book Antiqua" w:hAnsi="Book Antiqua" w:cs="Book Antiqua"/>
          <w:b/>
          <w:sz w:val="24"/>
          <w:szCs w:val="24"/>
        </w:rPr>
      </w:pPr>
      <w:r>
        <w:rPr>
          <w:rFonts w:ascii="Book Antiqua" w:eastAsia="Book Antiqua" w:hAnsi="Book Antiqua" w:cs="Book Antiqua"/>
          <w:b/>
          <w:noProof/>
          <w:sz w:val="24"/>
          <w:szCs w:val="24"/>
        </w:rPr>
        <w:drawing>
          <wp:inline distT="114300" distB="114300" distL="114300" distR="114300" wp14:anchorId="11591EEC" wp14:editId="2303F2F1">
            <wp:extent cx="5730875" cy="88900"/>
            <wp:effectExtent l="0" t="0" r="0" b="0"/>
            <wp:docPr id="258025384" name="image3.png"/>
            <wp:cNvGraphicFramePr/>
            <a:graphic xmlns:a="http://schemas.openxmlformats.org/drawingml/2006/main">
              <a:graphicData uri="http://schemas.openxmlformats.org/drawingml/2006/picture">
                <pic:pic xmlns:pic="http://schemas.openxmlformats.org/drawingml/2006/picture">
                  <pic:nvPicPr>
                    <pic:cNvPr id="258025384" name="image3.png"/>
                    <pic:cNvPicPr preferRelativeResize="0"/>
                  </pic:nvPicPr>
                  <pic:blipFill>
                    <a:blip r:embed="rId9"/>
                    <a:srcRect/>
                    <a:stretch>
                      <a:fillRect/>
                    </a:stretch>
                  </pic:blipFill>
                  <pic:spPr>
                    <a:xfrm>
                      <a:off x="0" y="0"/>
                      <a:ext cx="5731200" cy="88900"/>
                    </a:xfrm>
                    <a:prstGeom prst="rect">
                      <a:avLst/>
                    </a:prstGeom>
                  </pic:spPr>
                </pic:pic>
              </a:graphicData>
            </a:graphic>
          </wp:inline>
        </w:drawing>
      </w:r>
    </w:p>
    <w:p w14:paraId="26274B0C" w14:textId="77777777" w:rsidR="00415F2C" w:rsidRDefault="00415F2C">
      <w:pPr>
        <w:keepNext/>
        <w:keepLines/>
        <w:spacing w:line="240" w:lineRule="auto"/>
        <w:ind w:firstLine="0"/>
        <w:jc w:val="center"/>
        <w:rPr>
          <w:rFonts w:ascii="Book Antiqua" w:eastAsia="Book Antiqua" w:hAnsi="Book Antiqua" w:cs="Book Antiqua"/>
          <w:b/>
          <w:color w:val="000000"/>
          <w:sz w:val="28"/>
          <w:szCs w:val="28"/>
        </w:rPr>
      </w:pPr>
    </w:p>
    <w:p w14:paraId="4C76E233" w14:textId="77777777" w:rsidR="00415F2C" w:rsidRPr="00522BE9" w:rsidRDefault="00522BE9">
      <w:pPr>
        <w:keepNext/>
        <w:keepLines/>
        <w:spacing w:line="240" w:lineRule="auto"/>
        <w:ind w:firstLine="0"/>
        <w:jc w:val="center"/>
        <w:rPr>
          <w:rFonts w:ascii="Book Antiqua" w:eastAsia="Book Antiqua" w:hAnsi="Book Antiqua" w:cs="Book Antiqua"/>
          <w:b/>
          <w:color w:val="000000"/>
          <w:sz w:val="28"/>
          <w:szCs w:val="28"/>
          <w:lang w:val="id-ID"/>
        </w:rPr>
      </w:pPr>
      <w:r w:rsidRPr="00522BE9">
        <w:rPr>
          <w:rFonts w:ascii="Book Antiqua" w:hAnsi="Book Antiqua"/>
          <w:b/>
          <w:bCs/>
          <w:sz w:val="28"/>
          <w:szCs w:val="28"/>
        </w:rPr>
        <w:t>Peran Media Sosial sebagai Sarana Pengenalan Kearifan Lokal kepada Generasi Muda</w:t>
      </w:r>
    </w:p>
    <w:p w14:paraId="07D0AC60" w14:textId="77777777" w:rsidR="00415F2C" w:rsidRDefault="00415F2C">
      <w:pPr>
        <w:spacing w:line="240" w:lineRule="auto"/>
        <w:ind w:firstLine="0"/>
        <w:jc w:val="center"/>
        <w:rPr>
          <w:rFonts w:ascii="Book Antiqua" w:eastAsia="Book Antiqua" w:hAnsi="Book Antiqua" w:cs="Book Antiqua"/>
          <w:color w:val="000000"/>
          <w:sz w:val="24"/>
          <w:szCs w:val="24"/>
        </w:rPr>
      </w:pPr>
    </w:p>
    <w:p w14:paraId="6B719D4A" w14:textId="77777777" w:rsidR="00415F2C" w:rsidRDefault="00522BE9" w:rsidP="00522BE9">
      <w:pP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Azmi Laila Azzahro</w:t>
      </w:r>
      <w:r>
        <w:rPr>
          <w:rFonts w:ascii="Book Antiqua" w:eastAsia="Book Antiqua" w:hAnsi="Book Antiqua" w:cs="Book Antiqua"/>
          <w:color w:val="000000"/>
          <w:sz w:val="24"/>
          <w:szCs w:val="24"/>
          <w:vertAlign w:val="superscript"/>
        </w:rPr>
        <w:t>1(</w:t>
      </w:r>
      <w:r>
        <w:rPr>
          <w:rFonts w:ascii="Quattrocento Sans" w:eastAsia="Quattrocento Sans" w:hAnsi="Quattrocento Sans" w:cs="Quattrocento Sans"/>
          <w:color w:val="000000"/>
          <w:sz w:val="24"/>
          <w:szCs w:val="24"/>
          <w:vertAlign w:val="superscript"/>
        </w:rPr>
        <w:t>🖂</w:t>
      </w:r>
      <w:r>
        <w:rPr>
          <w:rFonts w:ascii="Book Antiqua" w:eastAsia="Book Antiqua" w:hAnsi="Book Antiqua" w:cs="Book Antiqua"/>
          <w:color w:val="000000"/>
          <w:sz w:val="24"/>
          <w:szCs w:val="24"/>
          <w:vertAlign w:val="superscript"/>
        </w:rPr>
        <w:t>)</w:t>
      </w:r>
      <w:r>
        <w:rPr>
          <w:rFonts w:ascii="Book Antiqua" w:eastAsia="Book Antiqua" w:hAnsi="Book Antiqua" w:cs="Book Antiqua"/>
          <w:color w:val="000000"/>
          <w:sz w:val="24"/>
          <w:szCs w:val="24"/>
        </w:rPr>
        <w:t>, Cahyo Hasanudin</w:t>
      </w:r>
      <w:r>
        <w:rPr>
          <w:rFonts w:ascii="Book Antiqua" w:eastAsia="Book Antiqua" w:hAnsi="Book Antiqua" w:cs="Book Antiqua"/>
          <w:color w:val="000000"/>
          <w:sz w:val="24"/>
          <w:szCs w:val="24"/>
          <w:vertAlign w:val="superscript"/>
        </w:rPr>
        <w:t>2</w:t>
      </w:r>
    </w:p>
    <w:p w14:paraId="625B4B93" w14:textId="1F8761FA" w:rsidR="00415F2C" w:rsidRDefault="00AB0747" w:rsidP="00522BE9">
      <w:pP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1,2</w:t>
      </w:r>
      <w:r>
        <w:rPr>
          <w:rFonts w:ascii="Book Antiqua" w:eastAsia="Book Antiqua" w:hAnsi="Book Antiqua" w:cs="Book Antiqua"/>
          <w:color w:val="000000"/>
          <w:sz w:val="24"/>
          <w:szCs w:val="24"/>
        </w:rPr>
        <w:t xml:space="preserve">Pendidikan </w:t>
      </w:r>
      <w:r w:rsidR="00522BE9">
        <w:rPr>
          <w:rFonts w:ascii="Book Antiqua" w:eastAsia="Book Antiqua" w:hAnsi="Book Antiqua" w:cs="Book Antiqua"/>
          <w:color w:val="000000"/>
          <w:sz w:val="24"/>
          <w:szCs w:val="24"/>
        </w:rPr>
        <w:t>Bahasa dan Sastra Indonesia, IKIP PGRI Bojonegoro</w:t>
      </w:r>
      <w:r>
        <w:rPr>
          <w:rFonts w:ascii="Book Antiqua" w:eastAsia="Book Antiqua" w:hAnsi="Book Antiqua" w:cs="Book Antiqua"/>
          <w:color w:val="000000"/>
          <w:sz w:val="24"/>
          <w:szCs w:val="24"/>
        </w:rPr>
        <w:t xml:space="preserve">, </w:t>
      </w:r>
      <w:r w:rsidR="00522BE9">
        <w:rPr>
          <w:rFonts w:ascii="Book Antiqua" w:eastAsia="Book Antiqua" w:hAnsi="Book Antiqua" w:cs="Book Antiqua"/>
          <w:color w:val="000000"/>
          <w:sz w:val="24"/>
          <w:szCs w:val="24"/>
        </w:rPr>
        <w:t>Indonesia</w:t>
      </w:r>
    </w:p>
    <w:p w14:paraId="636F24F6" w14:textId="56E8E2C0" w:rsidR="00415F2C" w:rsidRPr="00522BE9" w:rsidRDefault="008645DF" w:rsidP="00522BE9">
      <w:pPr>
        <w:spacing w:line="240" w:lineRule="auto"/>
        <w:ind w:firstLine="0"/>
        <w:jc w:val="center"/>
        <w:rPr>
          <w:rFonts w:ascii="Book Antiqua" w:eastAsia="Book Antiqua" w:hAnsi="Book Antiqua" w:cs="Book Antiqua"/>
          <w:b/>
          <w:color w:val="000000"/>
          <w:sz w:val="24"/>
          <w:szCs w:val="24"/>
        </w:rPr>
      </w:pPr>
      <w:hyperlink r:id="rId10" w:history="1">
        <w:r w:rsidR="00522BE9" w:rsidRPr="004925EA">
          <w:rPr>
            <w:rStyle w:val="Hyperlink"/>
            <w:rFonts w:ascii="Book Antiqua" w:hAnsi="Book Antiqua"/>
            <w:sz w:val="24"/>
            <w:szCs w:val="24"/>
          </w:rPr>
          <w:t>azmilaila106@gmail.com</w:t>
        </w:r>
      </w:hyperlink>
    </w:p>
    <w:p w14:paraId="39E9DF83" w14:textId="77777777" w:rsidR="00415F2C" w:rsidRDefault="00415F2C">
      <w:pPr>
        <w:spacing w:line="240" w:lineRule="auto"/>
        <w:ind w:left="567" w:right="567" w:hanging="340"/>
        <w:rPr>
          <w:rFonts w:ascii="Book Antiqua" w:eastAsia="Book Antiqua" w:hAnsi="Book Antiqua" w:cs="Book Antiqua"/>
          <w:b/>
          <w:color w:val="000000"/>
          <w:sz w:val="24"/>
          <w:szCs w:val="24"/>
        </w:rPr>
      </w:pPr>
    </w:p>
    <w:p w14:paraId="5C307EE1" w14:textId="3D5D9AE5" w:rsidR="00415F2C" w:rsidRDefault="00522BE9">
      <w:pPr>
        <w:rPr>
          <w:rFonts w:ascii="Book Antiqua" w:hAnsi="Book Antiqua"/>
        </w:rPr>
      </w:pPr>
      <w:r w:rsidRPr="00522BE9">
        <w:rPr>
          <w:rFonts w:ascii="Book Antiqua" w:eastAsia="Book Antiqua" w:hAnsi="Book Antiqua" w:cs="Book Antiqua"/>
          <w:b/>
          <w:color w:val="000000"/>
          <w:lang w:eastAsia="zh-CN" w:bidi="ar"/>
        </w:rPr>
        <w:t>Abstra</w:t>
      </w:r>
      <w:r w:rsidRPr="00522BE9">
        <w:rPr>
          <w:rFonts w:ascii="Book Antiqua" w:eastAsia="Book Antiqua" w:hAnsi="Book Antiqua" w:cs="Book Antiqua"/>
          <w:b/>
          <w:color w:val="000000"/>
          <w:lang w:val="id-ID" w:eastAsia="zh-CN" w:bidi="ar"/>
        </w:rPr>
        <w:t>k</w:t>
      </w:r>
      <w:r w:rsidRPr="00522BE9">
        <w:rPr>
          <w:rFonts w:ascii="Book Antiqua" w:eastAsia="Book Antiqua" w:hAnsi="Book Antiqua" w:cs="Book Antiqua"/>
          <w:b/>
          <w:color w:val="000000"/>
          <w:lang w:eastAsia="zh-CN" w:bidi="ar"/>
        </w:rPr>
        <w:t>—</w:t>
      </w:r>
      <w:r w:rsidRPr="00522BE9">
        <w:rPr>
          <w:rFonts w:ascii="Book Antiqua" w:hAnsi="Book Antiqua"/>
        </w:rPr>
        <w:t>Media sosial kini menjadi salah satu platform yang berpengaruh besar dalam kehidupan generasi muda, namun pemanfaatannya sebagai media untuk mengenalkan kearifan lokal masih belum dimaksimalkan. Penelitian ini bertujuan untuk mengeksplorasi bagaimana media sosial dapat berfungsi sebagai alat dalam memperkenalkan kearifan lokal kepada generasi muda di era digital. Pendekatan yang digunakan adalah Systematic Literature Review (SLR), dengan memanfaatkan data sekunder seperti artikel jurnal, publikasi akademik, dan literatur yang relevan. Data dikumpulkan melalui metode simak dan catat, sedangkan validitas data diuji dengan teknik triangulasi teori. Temuan penelitian mengindikasikan bahwa media sosial memiliki peran yang signifikan dalam upaya pelestarian dan pengenalan kearifan lokal melalui:</w:t>
      </w:r>
      <w:r w:rsidRPr="00522BE9">
        <w:rPr>
          <w:rFonts w:ascii="Book Antiqua" w:hAnsi="Book Antiqua"/>
          <w:lang w:val="id-ID"/>
        </w:rPr>
        <w:t xml:space="preserve"> </w:t>
      </w:r>
      <w:r w:rsidRPr="00522BE9">
        <w:rPr>
          <w:rFonts w:ascii="Book Antiqua" w:hAnsi="Book Antiqua"/>
        </w:rPr>
        <w:t>1. Media Sosial sebagai Platform Dokumentasi Kearifan Lokal</w:t>
      </w:r>
      <w:r w:rsidRPr="00522BE9">
        <w:rPr>
          <w:rFonts w:ascii="Book Antiqua" w:hAnsi="Book Antiqua"/>
          <w:lang w:val="id-ID"/>
        </w:rPr>
        <w:t xml:space="preserve">, </w:t>
      </w:r>
      <w:r w:rsidRPr="00522BE9">
        <w:rPr>
          <w:rFonts w:ascii="Book Antiqua" w:hAnsi="Book Antiqua"/>
        </w:rPr>
        <w:t>2. Transformasi Digital untuk Edukasi Interaktif</w:t>
      </w:r>
      <w:r w:rsidRPr="00522BE9">
        <w:rPr>
          <w:rFonts w:ascii="Book Antiqua" w:hAnsi="Book Antiqua"/>
          <w:lang w:val="id-ID"/>
        </w:rPr>
        <w:t xml:space="preserve">, </w:t>
      </w:r>
      <w:r w:rsidRPr="00522BE9">
        <w:rPr>
          <w:rFonts w:ascii="Book Antiqua" w:hAnsi="Book Antiqua"/>
        </w:rPr>
        <w:t>3. Kolaborasi Lintas Generasi dalam Pelestarian Budaya</w:t>
      </w:r>
      <w:r w:rsidRPr="00522BE9">
        <w:rPr>
          <w:rFonts w:ascii="Book Antiqua" w:hAnsi="Book Antiqua"/>
          <w:lang w:val="id-ID"/>
        </w:rPr>
        <w:t>,</w:t>
      </w:r>
      <w:r w:rsidRPr="00522BE9">
        <w:rPr>
          <w:rFonts w:ascii="Book Antiqua" w:hAnsi="Book Antiqua"/>
        </w:rPr>
        <w:t>4. Strategi Kreatif dalam Promosi Budaya</w:t>
      </w:r>
      <w:r w:rsidRPr="00522BE9">
        <w:rPr>
          <w:rFonts w:ascii="Book Antiqua" w:hAnsi="Book Antiqua"/>
          <w:lang w:val="id-ID"/>
        </w:rPr>
        <w:t xml:space="preserve">, </w:t>
      </w:r>
      <w:r w:rsidRPr="00522BE9">
        <w:rPr>
          <w:rFonts w:ascii="Book Antiqua" w:hAnsi="Book Antiqua"/>
        </w:rPr>
        <w:t>5. Pembentukan Komunitas Digital Budaya. Media Sosial sebagai Platform Dokumentasi Kearifan Lokal Simpulan penelitian ini adalah media sosial dapat menjadi jembatan efektif untuk melestarikan dan memperkenalkan kearifan lokal kepada generasi muda, dengan syarat konten yang disebarkan harus autentik dan edukatif.</w:t>
      </w:r>
    </w:p>
    <w:p w14:paraId="4B8052DB" w14:textId="77777777" w:rsidR="00415F2C" w:rsidRPr="00522BE9" w:rsidRDefault="00522BE9" w:rsidP="00AB0747">
      <w:pPr>
        <w:ind w:firstLine="0"/>
        <w:rPr>
          <w:rFonts w:ascii="Book Antiqua" w:eastAsia="Book Antiqua" w:hAnsi="Book Antiqua" w:cs="Book Antiqua"/>
          <w:color w:val="000000"/>
          <w:lang w:eastAsia="zh-CN" w:bidi="ar"/>
        </w:rPr>
      </w:pPr>
      <w:r w:rsidRPr="00522BE9">
        <w:rPr>
          <w:rFonts w:ascii="Book Antiqua" w:eastAsia="Book Antiqua" w:hAnsi="Book Antiqua" w:cs="Book Antiqua"/>
          <w:b/>
          <w:color w:val="000000"/>
          <w:lang w:eastAsia="zh-CN" w:bidi="ar"/>
        </w:rPr>
        <w:t>Kata kunci—</w:t>
      </w:r>
      <w:r w:rsidRPr="00522BE9">
        <w:rPr>
          <w:rFonts w:ascii="Book Antiqua" w:hAnsi="Book Antiqua"/>
        </w:rPr>
        <w:t xml:space="preserve"> media sosial, kearifan lokal, generasi muda</w:t>
      </w:r>
      <w:r w:rsidRPr="00522BE9">
        <w:rPr>
          <w:rFonts w:ascii="Book Antiqua" w:hAnsi="Book Antiqua"/>
          <w:lang w:val="id-ID"/>
        </w:rPr>
        <w:t>.</w:t>
      </w:r>
    </w:p>
    <w:p w14:paraId="14F78297" w14:textId="77777777" w:rsidR="00415F2C" w:rsidRDefault="00415F2C">
      <w:pPr>
        <w:spacing w:line="240" w:lineRule="auto"/>
        <w:ind w:left="567" w:right="567" w:hanging="340"/>
        <w:rPr>
          <w:rFonts w:ascii="Book Antiqua" w:eastAsia="Book Antiqua" w:hAnsi="Book Antiqua" w:cs="Book Antiqua"/>
          <w:b/>
          <w:color w:val="000000"/>
          <w:sz w:val="24"/>
          <w:szCs w:val="24"/>
        </w:rPr>
      </w:pPr>
    </w:p>
    <w:p w14:paraId="51F4D651" w14:textId="77777777" w:rsidR="00522BE9" w:rsidRDefault="00522BE9">
      <w:pPr>
        <w:rPr>
          <w:rFonts w:ascii="Book Antiqua" w:hAnsi="Book Antiqua"/>
          <w:lang w:val="id-ID"/>
        </w:rPr>
      </w:pPr>
      <w:r w:rsidRPr="00522BE9">
        <w:rPr>
          <w:rFonts w:ascii="Book Antiqua" w:eastAsia="Book Antiqua" w:hAnsi="Book Antiqua" w:cs="Book Antiqua"/>
          <w:b/>
          <w:color w:val="000000"/>
          <w:lang w:eastAsia="zh-CN" w:bidi="ar"/>
        </w:rPr>
        <w:t>Abstract—</w:t>
      </w:r>
      <w:r w:rsidRPr="00522BE9">
        <w:rPr>
          <w:rFonts w:ascii="Book Antiqua" w:hAnsi="Book Antiqua"/>
        </w:rPr>
        <w:t xml:space="preserve"> Social media has become a major platform in the lives of young people, yet its potential as a tool for introducing local wisdom remains underutilized.</w:t>
      </w:r>
      <w:r w:rsidRPr="00522BE9">
        <w:rPr>
          <w:rFonts w:ascii="Book Antiqua" w:hAnsi="Book Antiqua"/>
          <w:lang w:val="id-ID"/>
        </w:rPr>
        <w:t xml:space="preserve"> </w:t>
      </w:r>
      <w:r w:rsidRPr="00522BE9">
        <w:rPr>
          <w:rFonts w:ascii="Book Antiqua" w:hAnsi="Book Antiqua"/>
        </w:rPr>
        <w:t>This study aims to explore how social media can serve as a medium for promoting local wisdom to the younger generation in the digital era. The research employs a Systematic Literature Review (SLR) approach, utilizing secondary data such as journal articles, academic publications, and relevant literature. Data collection was carried out through observation and note-taking methods, while data validation was conducted using theory triangulation. The findings indicate that social media plays a significant role in preserving and introducing local wisdom</w:t>
      </w:r>
      <w:r w:rsidRPr="00522BE9">
        <w:rPr>
          <w:rFonts w:ascii="Book Antiqua" w:hAnsi="Book Antiqua"/>
          <w:lang w:val="id-ID"/>
        </w:rPr>
        <w:t xml:space="preserve"> </w:t>
      </w:r>
      <w:r w:rsidRPr="00522BE9">
        <w:rPr>
          <w:rFonts w:ascii="Book Antiqua" w:hAnsi="Book Antiqua"/>
        </w:rPr>
        <w:t>through: 1. Social</w:t>
      </w:r>
      <w:r>
        <w:rPr>
          <w:rFonts w:ascii="Book Antiqua" w:hAnsi="Book Antiqua"/>
        </w:rPr>
        <w:t xml:space="preserve"> </w:t>
      </w:r>
      <w:r w:rsidRPr="00522BE9">
        <w:rPr>
          <w:rFonts w:ascii="Book Antiqua" w:hAnsi="Book Antiqua"/>
        </w:rPr>
        <w:t>Media as a Platform for Documenting Local Wisdom, 2.</w:t>
      </w:r>
      <w:r w:rsidRPr="00522BE9">
        <w:rPr>
          <w:rFonts w:ascii="Book Antiqua" w:hAnsi="Book Antiqua"/>
          <w:lang w:val="id-ID"/>
        </w:rPr>
        <w:t xml:space="preserve"> </w:t>
      </w:r>
      <w:r w:rsidRPr="00522BE9">
        <w:rPr>
          <w:rFonts w:ascii="Book Antiqua" w:hAnsi="Book Antiqua"/>
        </w:rPr>
        <w:t>Digital Transformation for Interactive Education, 3. Cross-Generation Collaboration in Cultural Preservation, 4. Creative Strategy in Cultural Promotion, 5. Formation of a Digital Cultural Community. Social Media as a Local Wisdom Documentation Platform The conclusion of this research is that social media can be an effective bridge for preserving and introducing local wisdom to the younger generation, provided that the content distributed must be authentic and educational</w:t>
      </w:r>
      <w:r w:rsidRPr="00522BE9">
        <w:rPr>
          <w:rFonts w:ascii="Book Antiqua" w:hAnsi="Book Antiqua"/>
          <w:lang w:val="id-ID"/>
        </w:rPr>
        <w:t xml:space="preserve">.    </w:t>
      </w:r>
    </w:p>
    <w:p w14:paraId="634ED4B7" w14:textId="411F0A6C" w:rsidR="00415F2C" w:rsidRPr="00522BE9" w:rsidRDefault="00522BE9" w:rsidP="00AB0747">
      <w:pPr>
        <w:ind w:firstLine="0"/>
        <w:rPr>
          <w:rFonts w:ascii="Book Antiqua" w:hAnsi="Book Antiqua"/>
        </w:rPr>
      </w:pPr>
      <w:r w:rsidRPr="00522BE9">
        <w:rPr>
          <w:rFonts w:ascii="Book Antiqua" w:eastAsia="Book Antiqua" w:hAnsi="Book Antiqua" w:cs="Book Antiqua"/>
          <w:b/>
          <w:color w:val="000000"/>
        </w:rPr>
        <w:t>Keywords—</w:t>
      </w:r>
      <w:r w:rsidRPr="00522BE9">
        <w:rPr>
          <w:rFonts w:ascii="Book Antiqua" w:hAnsi="Book Antiqua"/>
          <w:lang w:val="id-ID"/>
        </w:rPr>
        <w:t xml:space="preserve"> </w:t>
      </w:r>
      <w:r w:rsidRPr="00522BE9">
        <w:rPr>
          <w:rFonts w:ascii="Book Antiqua" w:hAnsi="Book Antiqua"/>
        </w:rPr>
        <w:t>social media, local wisdom, young generation.</w:t>
      </w:r>
    </w:p>
    <w:p w14:paraId="62435A5A" w14:textId="77777777" w:rsidR="00415F2C" w:rsidRDefault="00415F2C">
      <w:pPr>
        <w:rPr>
          <w:rFonts w:ascii="Book Antiqua" w:eastAsia="Book Antiqua" w:hAnsi="Book Antiqua" w:cs="Book Antiqua"/>
          <w:color w:val="000000"/>
          <w:sz w:val="24"/>
          <w:szCs w:val="24"/>
        </w:rPr>
      </w:pPr>
    </w:p>
    <w:p w14:paraId="62E66FD8" w14:textId="77777777" w:rsidR="00522BE9" w:rsidRDefault="00522BE9">
      <w:pPr>
        <w:overflowPunct/>
        <w:autoSpaceDE/>
        <w:autoSpaceDN/>
        <w:adjustRightInd/>
        <w:spacing w:after="160" w:line="259" w:lineRule="auto"/>
        <w:ind w:firstLine="0"/>
        <w:jc w:val="left"/>
        <w:textAlignment w:val="auto"/>
        <w:rPr>
          <w:rFonts w:ascii="Book Antiqua" w:eastAsia="Book Antiqua" w:hAnsi="Book Antiqua" w:cs="Book Antiqua"/>
          <w:b/>
          <w:sz w:val="24"/>
          <w:szCs w:val="24"/>
        </w:rPr>
      </w:pPr>
      <w:r>
        <w:rPr>
          <w:rFonts w:ascii="Book Antiqua" w:eastAsia="Book Antiqua" w:hAnsi="Book Antiqua" w:cs="Book Antiqua"/>
          <w:b/>
          <w:sz w:val="24"/>
          <w:szCs w:val="24"/>
        </w:rPr>
        <w:br w:type="page"/>
      </w:r>
    </w:p>
    <w:p w14:paraId="4CEE21C9" w14:textId="4E8BC3E1" w:rsidR="00415F2C" w:rsidRDefault="00522BE9">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lastRenderedPageBreak/>
        <w:t>PENDAHULUAN</w:t>
      </w:r>
    </w:p>
    <w:p w14:paraId="6692F5DB" w14:textId="5E535D13" w:rsidR="00415F2C" w:rsidRDefault="00522BE9" w:rsidP="00AB0747">
      <w:pPr>
        <w:spacing w:line="240" w:lineRule="auto"/>
        <w:ind w:firstLine="567"/>
        <w:rPr>
          <w:rFonts w:ascii="Book Antiqua" w:hAnsi="Book Antiqua"/>
          <w:sz w:val="24"/>
          <w:szCs w:val="24"/>
        </w:rPr>
      </w:pPr>
      <w:r>
        <w:rPr>
          <w:rFonts w:ascii="Book Antiqua" w:hAnsi="Book Antiqua"/>
          <w:sz w:val="24"/>
          <w:szCs w:val="24"/>
        </w:rPr>
        <w:t xml:space="preserve">Media sosial saat ini menjadi sarana utama dalam menjalin relasi dan berinteraksi secara luas, serta berfungsi sebagai jembatan sosial untuk berbagi informasi dan melakukan kolaborasi (Nasrullah, 2015). Menurut Puntoadi (2011), terdapat tiga pilar utama dalam media sosial, yaitu berbagi, berkolaborasi, dan membangun koneksi. Melalui platform ini, pengguna dapat menyebarkan berbagai bentuk konten serta bekerja sama dalam berbagai kegiatan atau proyek. Namun, meningkatnya penggunaan media sosial di kalangan remaja juga menimbulkan risiko, salah satunya adalah cyberbullying, baik sebagai korban maupun pelaku, yang dapat berdampak serius karena meninggalkan jejak digital yang sulit dihapus (O'Keeffe </w:t>
      </w:r>
      <w:r w:rsidR="002B7F31">
        <w:rPr>
          <w:rFonts w:ascii="Book Antiqua" w:hAnsi="Book Antiqua"/>
          <w:sz w:val="24"/>
          <w:szCs w:val="24"/>
        </w:rPr>
        <w:t>dkk</w:t>
      </w:r>
      <w:r>
        <w:rPr>
          <w:rFonts w:ascii="Book Antiqua" w:hAnsi="Book Antiqua"/>
          <w:sz w:val="24"/>
          <w:szCs w:val="24"/>
        </w:rPr>
        <w:t>., 2011).</w:t>
      </w:r>
    </w:p>
    <w:p w14:paraId="2EEECA98" w14:textId="10DFB876" w:rsidR="00415F2C" w:rsidRDefault="00522BE9" w:rsidP="00AB0747">
      <w:pPr>
        <w:spacing w:line="240" w:lineRule="auto"/>
        <w:ind w:firstLine="567"/>
        <w:rPr>
          <w:rFonts w:ascii="Book Antiqua" w:hAnsi="Book Antiqua"/>
          <w:sz w:val="24"/>
          <w:szCs w:val="24"/>
        </w:rPr>
      </w:pPr>
      <w:r>
        <w:rPr>
          <w:rFonts w:ascii="Book Antiqua" w:hAnsi="Book Antiqua"/>
          <w:sz w:val="24"/>
          <w:szCs w:val="24"/>
        </w:rPr>
        <w:t xml:space="preserve">Tujuan penggunaan media sosial adalah untuk memungkinkan penyesuaian dalam cara kita berinteraksi di dunia digital. Pengguna memiliki kendali atas informasi yang dibagikan serta dapat memilih dengan siapa mereka ingin berkomunikasi, baik itu teman, kolega, maupun orang asing (Carr &amp; Hayes, 2015). Selain sebagai alat komunikasi, media sosial juga memiliki potensi untuk meningkatkan pengalaman belajar. Platform ini dapat memperkuat hubungan antara guru dan siswa, serta menciptakan lingkungan belajar yang kolaboratif (Faizi </w:t>
      </w:r>
      <w:r w:rsidR="002B7F31">
        <w:rPr>
          <w:rFonts w:ascii="Book Antiqua" w:hAnsi="Book Antiqua"/>
          <w:sz w:val="24"/>
          <w:szCs w:val="24"/>
        </w:rPr>
        <w:t>dkk</w:t>
      </w:r>
      <w:r>
        <w:rPr>
          <w:rFonts w:ascii="Book Antiqua" w:hAnsi="Book Antiqua"/>
          <w:sz w:val="24"/>
          <w:szCs w:val="24"/>
        </w:rPr>
        <w:t>., 2013)</w:t>
      </w:r>
    </w:p>
    <w:p w14:paraId="19DF029C" w14:textId="0ADFFCBB" w:rsidR="00415F2C" w:rsidRDefault="00522BE9" w:rsidP="00AB0747">
      <w:pPr>
        <w:spacing w:line="240" w:lineRule="auto"/>
        <w:ind w:firstLine="567"/>
        <w:rPr>
          <w:rFonts w:ascii="Book Antiqua" w:eastAsia="-webkit-standard" w:hAnsi="Book Antiqua" w:cs="-webkit-standard"/>
          <w:color w:val="000000"/>
          <w:sz w:val="24"/>
          <w:szCs w:val="24"/>
        </w:rPr>
      </w:pPr>
      <w:r>
        <w:rPr>
          <w:rFonts w:ascii="Book Antiqua" w:hAnsi="Book Antiqua"/>
          <w:sz w:val="24"/>
          <w:szCs w:val="24"/>
        </w:rPr>
        <w:t>Media sosial memiliki berbagai manfaat, di antaranya sebagai sarana pembelajaran, saluran untuk menyerap dan menyampaikan informasi, media dokumentasi, alat administrasi, serta sebagai wahana integrasi. Selain itu, media sosial juga berperan dalam proses perencanaan, penyusunan strategi, hingga manajemen. Tidak hanya itu, media sosial turut dimanfaatkan dalam kegiatan pengawasan, evaluasi, dan pengukuran. Dalam konteks organisasi atau komunitas, media sosial memungkinkan pemantauan terhadap aktivitas yang berlangsung, serta evaluasi atas strategi dan rencana yang telah diterapkan (Triastuti &amp; Adrianto, 2017). Manfaat lainnya dari penggunaan media sosial meliputi kemudahan dalam memperoleh inspirasi yang dapat mendorong kreativitas, memperluas relasi dan jaringan pertemanan tanpa batasan geografis, memperlancar komunikasi, membuka peluang usaha baru, serta memudahkan pengguna dalam mengikuti perkembangan informasi global (Widada, 2018).</w:t>
      </w:r>
    </w:p>
    <w:p w14:paraId="1B73E8E6" w14:textId="77777777" w:rsidR="00415F2C" w:rsidRDefault="00522BE9" w:rsidP="00AB0747">
      <w:pPr>
        <w:pStyle w:val="NormalWeb"/>
        <w:spacing w:after="0" w:line="324" w:lineRule="atLeast"/>
        <w:ind w:firstLine="567"/>
        <w:rPr>
          <w:rFonts w:ascii="Book Antiqua" w:eastAsia="-webkit-standard" w:hAnsi="Book Antiqua" w:cs="-webkit-standard"/>
          <w:color w:val="000000"/>
        </w:rPr>
      </w:pPr>
      <w:r>
        <w:rPr>
          <w:rFonts w:ascii="Book Antiqua" w:eastAsia="-webkit-standard" w:hAnsi="Book Antiqua" w:cs="Calibri"/>
          <w:color w:val="000000"/>
        </w:rPr>
        <w:t>Kearifan lokal, menurut Wagiran (2012), adalah pengetahuan atau kebijaksanaan yang berkembang di suatu daerah, mencerminkan identitas lokal yang tidak selalu diwariskan secara turun-temurun. Wujudnya dapat berupa upacara adat, seni, permainan tradisional, hingga warisan budaya lainnya. Secara umum, kearifan lokal mencakup cara hidup masyarakat dalam bidang ekonomi, teknologi, budaya, dan komunikasi yang selaras dengan lingkungan mereka. Potensi ini penting untuk dijaga dan dikembangkan demi mendukung kesejahteraan daerah (Najid, 2012).</w:t>
      </w:r>
    </w:p>
    <w:p w14:paraId="48BA8B4F" w14:textId="77777777" w:rsidR="00415F2C" w:rsidRDefault="00522BE9" w:rsidP="00AB0747">
      <w:pPr>
        <w:pStyle w:val="NormalWeb"/>
        <w:spacing w:after="0" w:line="324" w:lineRule="atLeast"/>
        <w:ind w:firstLine="567"/>
        <w:rPr>
          <w:rFonts w:ascii="Book Antiqua" w:eastAsia="-webkit-standard" w:hAnsi="Book Antiqua" w:cs="-webkit-standard"/>
          <w:color w:val="000000"/>
        </w:rPr>
      </w:pPr>
      <w:r>
        <w:rPr>
          <w:rFonts w:ascii="Book Antiqua" w:eastAsia="-webkit-standard" w:hAnsi="Book Antiqua" w:cs="Calibri"/>
          <w:color w:val="000000"/>
        </w:rPr>
        <w:t xml:space="preserve">Bentuk-bentuk kearifan lokal tercermin dalam praktik pertanian tradisional, teknik produksi, pengolahan, dan penyimpanan pangan yang berperan dalam memperkuat ketahanan sosial masyarakat. Hal ini mencakup kemandirian pangan, pengurangan ketergantungan pada satu komoditas seperti beras, serta partisipasi aktif dalam diversifikasi sumber pangan. Masyarakat tetap menjaga tradisi meskipun terbuka terhadap perubahan, serta memelihara hubungan sosial melalui kegiatan </w:t>
      </w:r>
      <w:r>
        <w:rPr>
          <w:rFonts w:ascii="Book Antiqua" w:eastAsia="-webkit-standard" w:hAnsi="Book Antiqua" w:cs="Calibri"/>
          <w:color w:val="000000"/>
        </w:rPr>
        <w:lastRenderedPageBreak/>
        <w:t>adat. Nilai-nilai budaya yang terus dijaga meliputi seni, pendidikan, pengorbanan, dan kepercayaan (Hasanadi, 2019). Menurut Koentjaraningrat (2009), kearifan lokal dapat diwujudkan dalam sistem pertanian tradisional yang terbentuk dari pengetahuan turun-temurun serta pemahaman terhadap kondisi alam sekitar.Sementara itu, upacara adat juga menjadi bagian penting dari kearifan lokal karena mengandung nilai kebersamaan dan pelestarian budaya yang hidup dalam masyarakat (Sibarani, 2012).</w:t>
      </w:r>
    </w:p>
    <w:p w14:paraId="377F21AD" w14:textId="77777777" w:rsidR="00415F2C" w:rsidRDefault="00522BE9" w:rsidP="00AB0747">
      <w:pPr>
        <w:pStyle w:val="NormalWeb"/>
        <w:spacing w:after="0" w:line="324" w:lineRule="atLeast"/>
        <w:ind w:firstLine="567"/>
        <w:rPr>
          <w:rFonts w:ascii="Book Antiqua" w:eastAsia="-webkit-standard" w:hAnsi="Book Antiqua" w:cs="-webkit-standard"/>
          <w:color w:val="000000"/>
        </w:rPr>
      </w:pPr>
      <w:r>
        <w:rPr>
          <w:rFonts w:ascii="Book Antiqua" w:eastAsia="-webkit-standard" w:hAnsi="Book Antiqua" w:cs="Calibri"/>
          <w:color w:val="000000"/>
        </w:rPr>
        <w:t> Kearifan lokal berperan penting dalam kehidupan masyarakat. Ia menjadi identitas khas suatu komunitas, sekaligus pengikat sosial yang menyatukan perbedaan agama dan kepercayaan. Selain itu, kearifan lokal memperkuat solidaritas, membentuk pola pikir, dan cara berinteraksi berdasarkan nilai budaya bersama. Ia juga menumbuhkan sikap saling menghargai dan mencegah konflik sosial melalui kesadaran kolektif (Sumarmi &amp; Amirudin, 2014). Menurut Zuhud (2008), kearifan lokal turut menjaga lingkungan melalui aturan adat, seperti larangan menebang pohon sembarangan. Koentjaraningrat (2009) menambahkan bahwa kearifan lokal mengandung nilai edukatif melalui ajaran moral dan norma sosial yang diwariskan lewat tradisi lisan seperti cerita rakyat dan peribahasa.</w:t>
      </w:r>
    </w:p>
    <w:p w14:paraId="233BCABB" w14:textId="77777777" w:rsidR="00415F2C" w:rsidRDefault="00522BE9" w:rsidP="00AB0747">
      <w:pPr>
        <w:pStyle w:val="NormalWeb"/>
        <w:spacing w:after="0" w:line="324" w:lineRule="atLeast"/>
        <w:ind w:firstLine="567"/>
        <w:rPr>
          <w:rFonts w:ascii="Book Antiqua" w:eastAsia="-webkit-standard" w:hAnsi="Book Antiqua" w:cs="-webkit-standard"/>
          <w:color w:val="000000"/>
        </w:rPr>
      </w:pPr>
      <w:r>
        <w:rPr>
          <w:rFonts w:ascii="Book Antiqua" w:eastAsia="-webkit-standard" w:hAnsi="Book Antiqua" w:cs="Calibri"/>
          <w:color w:val="000000"/>
        </w:rPr>
        <w:t>Generasi muda adalah kelompok usia remaja hingga dewasa awal yang memiliki karakter khas, yaitu cara berpikir dan bertindak dalam kehidupan sosial dan kebangsaan (Samani &amp; Hariyanto, 2016). Karakter ini penting untuk membentuk kesadaran sejarah dan tanggung jawab terhadap masa depan bangsa. Generasi muda dipandang sebagai individu yang penuh semangat, pemikiran segar, serta visi yang maju (Muzakkir, 2015). Mereka merupakan calon pemimpin, pelopor perubahan, dan kader bangsa yang peka terhadap kondisi sosial. Generasi muda juga dapat dipahami sebagai gaya budaya yang mandiri dan sering kali menjadi bentuk oposisi terhadap tatanan yang ada (Muhammad Tholchah Hasan, 2000).</w:t>
      </w:r>
    </w:p>
    <w:p w14:paraId="47DD3C74" w14:textId="77777777" w:rsidR="00415F2C" w:rsidRDefault="00522BE9" w:rsidP="00AB0747">
      <w:pPr>
        <w:pStyle w:val="NormalWeb"/>
        <w:spacing w:after="0" w:line="324" w:lineRule="atLeast"/>
        <w:ind w:firstLine="567"/>
        <w:rPr>
          <w:rFonts w:ascii="Book Antiqua" w:eastAsia="-webkit-standard" w:hAnsi="Book Antiqua" w:cs="-webkit-standard"/>
          <w:color w:val="000000"/>
        </w:rPr>
      </w:pPr>
      <w:r>
        <w:rPr>
          <w:rFonts w:ascii="Book Antiqua" w:eastAsia="-webkit-standard" w:hAnsi="Book Antiqua" w:cs="Calibri"/>
          <w:color w:val="000000"/>
        </w:rPr>
        <w:t>Generasi muda memiliki peran penting dalam menjaga dan melestarikan kebudayaan. Kecintaan terhadap budaya harus ditanamkan sejak dini agar tidak hilang akibat pengaruh era digital dan modernisasi. Karena itu, pembelajaran budaya perlu diperkuat di sekolah dan masyarakat (Anonim, 2002).Generasi muda, yang umumnya berusia hingga 30 tahun, memiliki karakter dan kebiasaan yang dipengaruhi oleh lingkungan sosial dan budaya (Irianto &amp; Febrianti, 2017). Mereka berpotensi mengembangkan budaya lokal, namun di sisi lain menghadapi tantangan globalisasi yang dapat mengikis nilai-nilai budaya dalam kehidupan sehari-hari (Mayhand, 2020; Kokkinos, 2016).</w:t>
      </w:r>
    </w:p>
    <w:p w14:paraId="0D6503C9" w14:textId="03979D64" w:rsidR="00415F2C" w:rsidRDefault="00522BE9" w:rsidP="00AB0747">
      <w:pPr>
        <w:pStyle w:val="NormalWeb"/>
        <w:spacing w:after="0" w:line="324" w:lineRule="atLeast"/>
        <w:ind w:firstLine="567"/>
        <w:rPr>
          <w:rFonts w:ascii="Book Antiqua" w:eastAsia="-webkit-standard" w:hAnsi="Book Antiqua" w:cs="Calibri"/>
          <w:color w:val="000000"/>
        </w:rPr>
      </w:pPr>
      <w:r>
        <w:rPr>
          <w:rFonts w:ascii="Book Antiqua" w:eastAsia="-webkit-standard" w:hAnsi="Book Antiqua" w:cs="Calibri"/>
          <w:color w:val="000000"/>
        </w:rPr>
        <w:t xml:space="preserve">Pelestarian budaya lokal menjadi tanggung jawab bersama, namun generasi muda memegang peran utama dalam mempertahankannya di tengah arus globalisasi. Nilai-nilai kearifan lokal yang mulai memudar dapat dijaga dengan keterlibatan aktif generasi muda dalam melestarikan dan meneruskan budaya daerah (Fauziyah, L., 2021). Generasi muda juga memiliki peran strategis dalam memajukan bangsa. Dengan semangat nasionalisme dan kemampuan adaptasi di era digital, </w:t>
      </w:r>
      <w:r>
        <w:rPr>
          <w:rFonts w:ascii="Book Antiqua" w:eastAsia="-webkit-standard" w:hAnsi="Book Antiqua" w:cs="Calibri"/>
          <w:color w:val="000000"/>
        </w:rPr>
        <w:lastRenderedPageBreak/>
        <w:t xml:space="preserve">mereka mampu memperkuat persatuan dan menghadapi tantangan global demi kepentingan bangsa dan negara (Hermi Yanzi </w:t>
      </w:r>
      <w:r w:rsidR="002B7F31">
        <w:rPr>
          <w:rFonts w:ascii="Book Antiqua" w:eastAsia="-webkit-standard" w:hAnsi="Book Antiqua" w:cs="Calibri"/>
          <w:color w:val="000000"/>
        </w:rPr>
        <w:t>dkk</w:t>
      </w:r>
      <w:r>
        <w:rPr>
          <w:rFonts w:ascii="Book Antiqua" w:eastAsia="-webkit-standard" w:hAnsi="Book Antiqua" w:cs="Calibri"/>
          <w:color w:val="000000"/>
        </w:rPr>
        <w:t>., 2019).</w:t>
      </w:r>
    </w:p>
    <w:p w14:paraId="6EF9024E" w14:textId="77777777" w:rsidR="00AB0747" w:rsidRDefault="00AB0747" w:rsidP="00AB0747">
      <w:pPr>
        <w:pStyle w:val="NormalWeb"/>
        <w:spacing w:after="0" w:line="324" w:lineRule="atLeast"/>
        <w:ind w:firstLine="567"/>
        <w:rPr>
          <w:rFonts w:ascii="Book Antiqua" w:eastAsia="-webkit-standard" w:hAnsi="Book Antiqua" w:cs="-webkit-standard"/>
          <w:color w:val="000000"/>
        </w:rPr>
      </w:pPr>
    </w:p>
    <w:p w14:paraId="774F0118" w14:textId="77777777" w:rsidR="00415F2C" w:rsidRDefault="00522BE9">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METODE PENELITIAN</w:t>
      </w:r>
    </w:p>
    <w:p w14:paraId="2CE9F613" w14:textId="58B63308" w:rsidR="00415F2C" w:rsidRDefault="00522BE9">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Penelitian ini adalah penelitian </w:t>
      </w:r>
      <w:r>
        <w:rPr>
          <w:rFonts w:ascii="Book Antiqua" w:eastAsia="Book Antiqua" w:hAnsi="Book Antiqua" w:cs="Book Antiqua"/>
          <w:i/>
          <w:iCs/>
          <w:sz w:val="24"/>
          <w:szCs w:val="24"/>
        </w:rPr>
        <w:t>Systematic Literature Review</w:t>
      </w:r>
      <w:r>
        <w:rPr>
          <w:rFonts w:ascii="Book Antiqua" w:eastAsia="Book Antiqua" w:hAnsi="Book Antiqua" w:cs="Book Antiqua"/>
          <w:sz w:val="24"/>
          <w:szCs w:val="24"/>
        </w:rPr>
        <w:t xml:space="preserve"> atau sering dikenal dengan singkatan SLR. Penelitian SLR adalah </w:t>
      </w:r>
      <w:r>
        <w:rPr>
          <w:rFonts w:ascii="Book Antiqua" w:hAnsi="Book Antiqua"/>
          <w:sz w:val="24"/>
          <w:szCs w:val="24"/>
        </w:rPr>
        <w:t xml:space="preserve">metode penelitian yang sistematis untuk mengumpulkan, mengevaluasi, dan menganalisis semua studi yang relevan tentang topik tertentu menggunakan prosedur yang terstruktur dan dapat direplikasi </w:t>
      </w:r>
      <w:r>
        <w:rPr>
          <w:rFonts w:ascii="Book Antiqua" w:eastAsia="Book Antiqua" w:hAnsi="Book Antiqua" w:cs="Book Antiqua"/>
          <w:sz w:val="24"/>
          <w:szCs w:val="24"/>
        </w:rPr>
        <w:t>(Triandini dkk. dalam Hikmah dan Hasanudin, 2024).</w:t>
      </w:r>
    </w:p>
    <w:p w14:paraId="2691F039" w14:textId="77777777" w:rsidR="00415F2C" w:rsidRDefault="00522BE9">
      <w:pPr>
        <w:spacing w:line="240" w:lineRule="auto"/>
        <w:ind w:firstLine="567"/>
        <w:rPr>
          <w:rFonts w:ascii="Book Antiqua" w:hAnsi="Book Antiqua"/>
          <w:sz w:val="24"/>
          <w:szCs w:val="24"/>
        </w:rPr>
      </w:pPr>
      <w:r>
        <w:rPr>
          <w:rFonts w:ascii="Book Antiqua" w:eastAsia="Book Antiqua" w:hAnsi="Book Antiqua" w:cs="Book Antiqua"/>
          <w:sz w:val="24"/>
          <w:szCs w:val="24"/>
        </w:rPr>
        <w:t xml:space="preserve">Data penelitian ini berbentuk data sekunder. Data sekunder menurut Umaroh dan Hasanudin (2024) dapat berbentuk </w:t>
      </w:r>
      <w:r>
        <w:rPr>
          <w:rFonts w:ascii="Book Antiqua" w:hAnsi="Book Antiqua"/>
          <w:sz w:val="24"/>
          <w:szCs w:val="24"/>
        </w:rPr>
        <w:t>dokumen, laporan, publikasi ilmiah, artikel jurnal, buku, atau sumber tertulis lainnya</w:t>
      </w:r>
      <w:r>
        <w:rPr>
          <w:rFonts w:ascii="Book Antiqua" w:eastAsia="Book Antiqua" w:hAnsi="Book Antiqua" w:cs="Book Antiqua"/>
          <w:sz w:val="24"/>
          <w:szCs w:val="24"/>
        </w:rPr>
        <w:t xml:space="preserve">. Data sekunder yang digunakan di dalam penelitian ini berupa kata, frasa, klausa, atau bahkan kalimat yang diambil dari </w:t>
      </w:r>
      <w:r>
        <w:rPr>
          <w:rFonts w:ascii="Book Antiqua" w:hAnsi="Book Antiqua"/>
          <w:sz w:val="24"/>
          <w:szCs w:val="24"/>
        </w:rPr>
        <w:t>artikel jurnal ilmiah, publikasi akademik, atau literatur yang relevan dengan topik penelitian.</w:t>
      </w:r>
    </w:p>
    <w:p w14:paraId="35427382" w14:textId="38CECFF2" w:rsidR="00415F2C" w:rsidRDefault="00522BE9" w:rsidP="00522BE9">
      <w:pPr>
        <w:spacing w:line="240" w:lineRule="auto"/>
        <w:ind w:firstLine="567"/>
        <w:rPr>
          <w:rFonts w:ascii="Book Antiqua" w:hAnsi="Book Antiqua"/>
          <w:sz w:val="24"/>
          <w:szCs w:val="24"/>
        </w:rPr>
      </w:pPr>
      <w:r>
        <w:rPr>
          <w:rFonts w:ascii="Book Antiqua" w:eastAsia="Book Antiqua" w:hAnsi="Book Antiqua" w:cs="Book Antiqua"/>
          <w:sz w:val="24"/>
          <w:szCs w:val="24"/>
        </w:rPr>
        <w:t xml:space="preserve">Teknik pengumpulan data menggunakan metode simak dan catat. Metode simak dan catat adalah </w:t>
      </w:r>
      <w:r>
        <w:rPr>
          <w:rFonts w:ascii="Book Antiqua" w:hAnsi="Book Antiqua"/>
          <w:sz w:val="24"/>
          <w:szCs w:val="24"/>
        </w:rPr>
        <w:t xml:space="preserve">teknik pengumpulan data dengan cara menyimak atau mengamati penggunaan bahasa secara cermat, kemudian mencatat data yang relevan dengan penelitian. </w:t>
      </w:r>
      <w:r>
        <w:rPr>
          <w:rFonts w:ascii="Book Antiqua" w:eastAsia="Book Antiqua" w:hAnsi="Book Antiqua" w:cs="Book Antiqua"/>
          <w:sz w:val="24"/>
          <w:szCs w:val="24"/>
        </w:rPr>
        <w:t xml:space="preserve">Metode simak di dalam penelitian ini dengan cara </w:t>
      </w:r>
      <w:r>
        <w:rPr>
          <w:rFonts w:ascii="Book Antiqua" w:hAnsi="Book Antiqua"/>
          <w:sz w:val="24"/>
          <w:szCs w:val="24"/>
        </w:rPr>
        <w:t xml:space="preserve">membaca dan menyimak secara teliti artikel-artikel jurnal yang telah terpilih untuk mengidentifikasi data yang sesuai dengan fokus penelitian. </w:t>
      </w:r>
      <w:r>
        <w:rPr>
          <w:rFonts w:ascii="Book Antiqua" w:eastAsia="Book Antiqua" w:hAnsi="Book Antiqua" w:cs="Book Antiqua"/>
          <w:sz w:val="24"/>
          <w:szCs w:val="24"/>
        </w:rPr>
        <w:t xml:space="preserve">Metode catat di dalam penelitian ini dengan cara </w:t>
      </w:r>
      <w:r>
        <w:rPr>
          <w:rFonts w:ascii="Book Antiqua" w:hAnsi="Book Antiqua"/>
          <w:sz w:val="24"/>
          <w:szCs w:val="24"/>
        </w:rPr>
        <w:t>mencatat dan mendokumentasikan kata, frasa, klausa, atau kalimat yang relevan dari sumber-sumber literatur ke dalam kartu data atau tabel untuk kemudian dianalisis lebih lanjut.</w:t>
      </w:r>
    </w:p>
    <w:p w14:paraId="5156074F" w14:textId="77777777" w:rsidR="00415F2C" w:rsidRDefault="00522BE9">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Teknik validasi data menggunakan teknik triangulasi. Teknik triangulasi menurut Puspita dan Hasanudin (2024) adalah </w:t>
      </w:r>
      <w:r>
        <w:rPr>
          <w:rFonts w:ascii="Book Antiqua" w:hAnsi="Book Antiqua"/>
          <w:sz w:val="24"/>
          <w:szCs w:val="24"/>
        </w:rPr>
        <w:t xml:space="preserve"> teknik validasi data dengan menggunakan berbagai sumber, metode, atau teori untuk memverifikasi dan memperkuat keabsahan temuan penelitian</w:t>
      </w:r>
      <w:r>
        <w:rPr>
          <w:rFonts w:ascii="Book Antiqua" w:eastAsia="Book Antiqua" w:hAnsi="Book Antiqua" w:cs="Book Antiqua"/>
          <w:sz w:val="24"/>
          <w:szCs w:val="24"/>
        </w:rPr>
        <w:t>. Triangulasi di dalam penelitian ini menggunakan teknik triangulasi teori. Pada penelitian ini teori dari hasil riset atau konsep pakar dijadikan validasi atas pernyataan atau konsep yang sedang disampaikan.</w:t>
      </w:r>
    </w:p>
    <w:p w14:paraId="6C634DAB" w14:textId="77777777" w:rsidR="00415F2C" w:rsidRDefault="00415F2C">
      <w:pPr>
        <w:spacing w:line="240" w:lineRule="auto"/>
        <w:ind w:firstLine="0"/>
        <w:rPr>
          <w:rFonts w:ascii="Book Antiqua" w:eastAsia="Book Antiqua" w:hAnsi="Book Antiqua" w:cs="Book Antiqua"/>
          <w:b/>
          <w:sz w:val="24"/>
          <w:szCs w:val="24"/>
        </w:rPr>
      </w:pPr>
    </w:p>
    <w:p w14:paraId="38A78F82" w14:textId="77777777" w:rsidR="00415F2C" w:rsidRDefault="00522BE9">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HASIL DAN PEMBAHASAN</w:t>
      </w:r>
    </w:p>
    <w:p w14:paraId="2383065E" w14:textId="61DA6644" w:rsidR="00415F2C" w:rsidRDefault="00522BE9" w:rsidP="00AB0747">
      <w:pPr>
        <w:spacing w:line="240" w:lineRule="auto"/>
        <w:ind w:firstLine="567"/>
        <w:rPr>
          <w:rFonts w:ascii="Book Antiqua" w:hAnsi="Book Antiqua"/>
          <w:sz w:val="24"/>
          <w:szCs w:val="24"/>
        </w:rPr>
      </w:pPr>
      <w:r>
        <w:rPr>
          <w:rFonts w:ascii="Book Antiqua" w:hAnsi="Book Antiqua"/>
          <w:sz w:val="24"/>
          <w:szCs w:val="24"/>
        </w:rPr>
        <w:t>Berdasarkan analisis systematic literature review, penelitian ini menemukan lima peran utama media sosial dalam pengenalan kearifan lokal kepada generasi muda.</w:t>
      </w:r>
    </w:p>
    <w:p w14:paraId="749807A8" w14:textId="77777777" w:rsidR="00415F2C" w:rsidRDefault="00522BE9">
      <w:pPr>
        <w:spacing w:line="240" w:lineRule="auto"/>
        <w:ind w:firstLine="0"/>
        <w:rPr>
          <w:rFonts w:ascii="Book Antiqua" w:hAnsi="Book Antiqua"/>
          <w:b/>
          <w:bCs/>
          <w:sz w:val="24"/>
          <w:szCs w:val="24"/>
        </w:rPr>
      </w:pPr>
      <w:r>
        <w:rPr>
          <w:rFonts w:ascii="Book Antiqua" w:hAnsi="Book Antiqua"/>
          <w:b/>
          <w:bCs/>
          <w:sz w:val="24"/>
          <w:szCs w:val="24"/>
        </w:rPr>
        <w:t>1. Media Sosial sebagai Platform Dokumentasi Kearifan Lokal</w:t>
      </w:r>
    </w:p>
    <w:p w14:paraId="076AAB20" w14:textId="77777777" w:rsidR="00415F2C" w:rsidRDefault="00522BE9">
      <w:pPr>
        <w:spacing w:line="240" w:lineRule="auto"/>
        <w:ind w:firstLine="567"/>
        <w:rPr>
          <w:rFonts w:ascii="Book Antiqua" w:hAnsi="Book Antiqua"/>
          <w:sz w:val="24"/>
          <w:szCs w:val="24"/>
        </w:rPr>
      </w:pPr>
      <w:r>
        <w:rPr>
          <w:rFonts w:ascii="Book Antiqua" w:hAnsi="Book Antiqua"/>
          <w:sz w:val="24"/>
          <w:szCs w:val="24"/>
        </w:rPr>
        <w:t>Media sosial berperan sebagai jembatan sosial dalam berbagi informasi dan kolaborasi (Nasrullah, 2015). Platform ini memungkinkan dokumentasi kearifan lokal seperti upacara adat, seni tradisional, dan warisan budaya dalam format visual yang menarik bagi generasi muda. Tiga pilar media sosial yaitu berbagi, kolaborasi, dan membangun koneksi (Puntoadi, 2011) terbukti efektif dalam pelestarian budaya.</w:t>
      </w:r>
    </w:p>
    <w:p w14:paraId="22339E1A" w14:textId="77777777" w:rsidR="00415F2C" w:rsidRDefault="00415F2C">
      <w:pPr>
        <w:spacing w:line="240" w:lineRule="auto"/>
        <w:ind w:firstLine="567"/>
        <w:rPr>
          <w:rFonts w:ascii="Book Antiqua" w:hAnsi="Book Antiqua"/>
          <w:sz w:val="24"/>
          <w:szCs w:val="24"/>
        </w:rPr>
      </w:pPr>
    </w:p>
    <w:p w14:paraId="31451D1E" w14:textId="77777777" w:rsidR="00415F2C" w:rsidRDefault="00522BE9">
      <w:pPr>
        <w:spacing w:line="240" w:lineRule="auto"/>
        <w:ind w:firstLine="0"/>
        <w:rPr>
          <w:rFonts w:ascii="Book Antiqua" w:hAnsi="Book Antiqua"/>
          <w:b/>
          <w:bCs/>
          <w:sz w:val="24"/>
          <w:szCs w:val="24"/>
        </w:rPr>
      </w:pPr>
      <w:r>
        <w:rPr>
          <w:rFonts w:ascii="Book Antiqua" w:hAnsi="Book Antiqua"/>
          <w:b/>
          <w:bCs/>
          <w:sz w:val="24"/>
          <w:szCs w:val="24"/>
        </w:rPr>
        <w:t>2. Transformasi Digital untuk Edukasi Interaktif</w:t>
      </w:r>
    </w:p>
    <w:p w14:paraId="437AE14A" w14:textId="77777777" w:rsidR="00415F2C" w:rsidRDefault="00522BE9">
      <w:pPr>
        <w:spacing w:line="240" w:lineRule="auto"/>
        <w:ind w:firstLine="567"/>
        <w:rPr>
          <w:rFonts w:ascii="Book Antiqua" w:hAnsi="Book Antiqua"/>
          <w:sz w:val="24"/>
          <w:szCs w:val="24"/>
        </w:rPr>
      </w:pPr>
      <w:r>
        <w:rPr>
          <w:rFonts w:ascii="Book Antiqua" w:hAnsi="Book Antiqua"/>
          <w:sz w:val="24"/>
          <w:szCs w:val="24"/>
        </w:rPr>
        <w:t xml:space="preserve">Kearifan lokal sebagai pengetahuan yang berkembang di suatu daerah (Wagiran, 2012) dapat diadaptasi ke format digital tanpa kehilangan esensinya. Media </w:t>
      </w:r>
      <w:r>
        <w:rPr>
          <w:rFonts w:ascii="Book Antiqua" w:hAnsi="Book Antiqua"/>
          <w:sz w:val="24"/>
          <w:szCs w:val="24"/>
        </w:rPr>
        <w:lastRenderedPageBreak/>
        <w:t>sosial memfasilitasi pembelajaran kolaboratif dan interaktif (Faizi dkk., 2013) yang memperkuat hubungan antara generasi tua sebagai pemegang tradisi dengan generasi muda sebagai pewaris budaya.</w:t>
      </w:r>
    </w:p>
    <w:p w14:paraId="5C21A21B" w14:textId="77777777" w:rsidR="00415F2C" w:rsidRDefault="00415F2C">
      <w:pPr>
        <w:spacing w:line="240" w:lineRule="auto"/>
        <w:ind w:firstLine="567"/>
        <w:rPr>
          <w:rFonts w:ascii="Book Antiqua" w:hAnsi="Book Antiqua"/>
          <w:sz w:val="24"/>
          <w:szCs w:val="24"/>
        </w:rPr>
      </w:pPr>
    </w:p>
    <w:p w14:paraId="1154D7ED" w14:textId="77777777" w:rsidR="00415F2C" w:rsidRDefault="00522BE9">
      <w:pPr>
        <w:spacing w:line="240" w:lineRule="auto"/>
        <w:ind w:firstLine="0"/>
        <w:rPr>
          <w:rFonts w:ascii="Book Antiqua" w:hAnsi="Book Antiqua"/>
          <w:b/>
          <w:bCs/>
          <w:sz w:val="24"/>
          <w:szCs w:val="24"/>
        </w:rPr>
      </w:pPr>
      <w:r>
        <w:rPr>
          <w:rFonts w:ascii="Book Antiqua" w:hAnsi="Book Antiqua"/>
          <w:b/>
          <w:bCs/>
          <w:sz w:val="24"/>
          <w:szCs w:val="24"/>
        </w:rPr>
        <w:t>3. Kolaborasi Lintas Generasi dalam Pelestarian Budaya</w:t>
      </w:r>
    </w:p>
    <w:p w14:paraId="7EEC6B12" w14:textId="77777777" w:rsidR="00415F2C" w:rsidRDefault="00522BE9">
      <w:pPr>
        <w:spacing w:line="240" w:lineRule="auto"/>
        <w:ind w:firstLine="567"/>
        <w:rPr>
          <w:rFonts w:ascii="Book Antiqua" w:hAnsi="Book Antiqua"/>
          <w:sz w:val="24"/>
          <w:szCs w:val="24"/>
        </w:rPr>
      </w:pPr>
      <w:r>
        <w:rPr>
          <w:rFonts w:ascii="Book Antiqua" w:hAnsi="Book Antiqua"/>
          <w:sz w:val="24"/>
          <w:szCs w:val="24"/>
        </w:rPr>
        <w:t>Generasi muda dengan karakteristik pemikiran segar dan visi maju (Muzakkir, 2015) menunjukkan respons positif terhadap kearifan lokal yang dikemas dalam format digital. Karakteristik mereka yang dipengaruhi lingkungan digital (Irianto &amp; Febrianti, 2017) memudahkan penerimaan informasi budaya melalui media sosial.</w:t>
      </w:r>
    </w:p>
    <w:p w14:paraId="4ED498C9" w14:textId="77777777" w:rsidR="00415F2C" w:rsidRDefault="00415F2C">
      <w:pPr>
        <w:spacing w:line="240" w:lineRule="auto"/>
        <w:ind w:firstLine="567"/>
        <w:rPr>
          <w:rFonts w:ascii="Book Antiqua" w:hAnsi="Book Antiqua"/>
          <w:sz w:val="24"/>
          <w:szCs w:val="24"/>
        </w:rPr>
      </w:pPr>
    </w:p>
    <w:p w14:paraId="4CF62B9D" w14:textId="77777777" w:rsidR="00415F2C" w:rsidRDefault="00522BE9">
      <w:pPr>
        <w:spacing w:line="240" w:lineRule="auto"/>
        <w:ind w:firstLine="0"/>
        <w:rPr>
          <w:rFonts w:ascii="Book Antiqua" w:hAnsi="Book Antiqua"/>
          <w:b/>
          <w:bCs/>
          <w:sz w:val="24"/>
          <w:szCs w:val="24"/>
        </w:rPr>
      </w:pPr>
      <w:r>
        <w:rPr>
          <w:rFonts w:ascii="Book Antiqua" w:hAnsi="Book Antiqua"/>
          <w:b/>
          <w:bCs/>
          <w:sz w:val="24"/>
          <w:szCs w:val="24"/>
        </w:rPr>
        <w:t>4. Strategi Kreatif dalam Promosi Budaya</w:t>
      </w:r>
    </w:p>
    <w:p w14:paraId="1AF402A6" w14:textId="77777777" w:rsidR="00415F2C" w:rsidRDefault="00522BE9">
      <w:pPr>
        <w:spacing w:line="240" w:lineRule="auto"/>
        <w:ind w:firstLine="567"/>
        <w:rPr>
          <w:rFonts w:ascii="Book Antiqua" w:hAnsi="Book Antiqua"/>
          <w:sz w:val="24"/>
          <w:szCs w:val="24"/>
        </w:rPr>
      </w:pPr>
      <w:r>
        <w:rPr>
          <w:rFonts w:ascii="Book Antiqua" w:hAnsi="Book Antiqua"/>
          <w:sz w:val="24"/>
          <w:szCs w:val="24"/>
        </w:rPr>
        <w:t>Media sosial memberikan kemudahan memperoleh inspirasi dan kreativitas (Widada, 2018) untuk mengemas kearifan lokal. Konten viral, challenge budaya, dan storytelling digital menjadi strategi efektif menarik minat generasi muda terhadap budaya lokal sambil menghadapi tantangan globalisasi (Mayhand, 2020).</w:t>
      </w:r>
    </w:p>
    <w:p w14:paraId="1E166144" w14:textId="77777777" w:rsidR="00415F2C" w:rsidRDefault="00415F2C">
      <w:pPr>
        <w:spacing w:line="240" w:lineRule="auto"/>
        <w:ind w:firstLine="567"/>
        <w:rPr>
          <w:rFonts w:ascii="Book Antiqua" w:hAnsi="Book Antiqua"/>
          <w:sz w:val="24"/>
          <w:szCs w:val="24"/>
        </w:rPr>
      </w:pPr>
    </w:p>
    <w:p w14:paraId="5B9E21B4" w14:textId="77777777" w:rsidR="00415F2C" w:rsidRDefault="00522BE9">
      <w:pPr>
        <w:spacing w:line="240" w:lineRule="auto"/>
        <w:ind w:firstLine="0"/>
        <w:rPr>
          <w:rFonts w:ascii="Book Antiqua" w:hAnsi="Book Antiqua"/>
          <w:b/>
          <w:bCs/>
          <w:sz w:val="24"/>
          <w:szCs w:val="24"/>
        </w:rPr>
      </w:pPr>
      <w:r>
        <w:rPr>
          <w:rFonts w:ascii="Book Antiqua" w:hAnsi="Book Antiqua"/>
          <w:b/>
          <w:bCs/>
          <w:sz w:val="24"/>
          <w:szCs w:val="24"/>
        </w:rPr>
        <w:t>5. Pembentukan Komunitas Digital Budaya</w:t>
      </w:r>
    </w:p>
    <w:p w14:paraId="5C7FD27A" w14:textId="77777777" w:rsidR="00415F2C" w:rsidRDefault="00522BE9">
      <w:pPr>
        <w:spacing w:line="240" w:lineRule="auto"/>
        <w:ind w:firstLine="567"/>
        <w:rPr>
          <w:rFonts w:ascii="Book Antiqua" w:hAnsi="Book Antiqua"/>
          <w:sz w:val="24"/>
          <w:szCs w:val="24"/>
        </w:rPr>
      </w:pPr>
      <w:r>
        <w:rPr>
          <w:rFonts w:ascii="Book Antiqua" w:hAnsi="Book Antiqua"/>
          <w:sz w:val="24"/>
          <w:szCs w:val="24"/>
        </w:rPr>
        <w:t>Kearifan lokal sebagai identitas khas komunitas dan pengikat sosial (Sumarmi &amp; Amirudin, 2014) dapat diperkuat melalui komunitas virtual. Nilai edukatif kearifan lokal (Koentjaraningrat, 2009) dapat disampaikan melalui forum diskusi dan grup media sosial yang fokus pada pelestarian budaya, memungkinkan generasi muda berpartisipasi aktif dalam menjaga warisan budaya.</w:t>
      </w:r>
    </w:p>
    <w:p w14:paraId="46ECCAD6" w14:textId="77777777" w:rsidR="00415F2C" w:rsidRDefault="00415F2C" w:rsidP="00522BE9">
      <w:pPr>
        <w:keepNext/>
        <w:keepLines/>
        <w:tabs>
          <w:tab w:val="left" w:pos="216"/>
        </w:tabs>
        <w:spacing w:line="240" w:lineRule="auto"/>
        <w:ind w:firstLine="0"/>
        <w:jc w:val="left"/>
        <w:rPr>
          <w:rFonts w:ascii="Book Antiqua" w:eastAsia="Book Antiqua" w:hAnsi="Book Antiqua" w:cs="Book Antiqua"/>
          <w:b/>
          <w:color w:val="000000"/>
          <w:sz w:val="24"/>
          <w:szCs w:val="24"/>
        </w:rPr>
      </w:pPr>
    </w:p>
    <w:p w14:paraId="052E48F1" w14:textId="77777777" w:rsidR="00415F2C" w:rsidRDefault="00522BE9">
      <w:pPr>
        <w:keepNext/>
        <w:keepLines/>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SIMPULAN</w:t>
      </w:r>
    </w:p>
    <w:p w14:paraId="5BB0E6D1" w14:textId="0AF10EFD" w:rsidR="00415F2C" w:rsidRDefault="00522BE9" w:rsidP="002B7F31">
      <w:pPr>
        <w:keepNext/>
        <w:keepLines/>
        <w:tabs>
          <w:tab w:val="left" w:pos="216"/>
        </w:tabs>
        <w:spacing w:line="240" w:lineRule="auto"/>
        <w:ind w:firstLine="567"/>
        <w:rPr>
          <w:rFonts w:ascii="Book Antiqua" w:hAnsi="Book Antiqua"/>
          <w:sz w:val="24"/>
          <w:szCs w:val="24"/>
        </w:rPr>
      </w:pPr>
      <w:bookmarkStart w:id="0" w:name="_GoBack"/>
      <w:bookmarkEnd w:id="0"/>
      <w:r>
        <w:rPr>
          <w:rFonts w:ascii="Book Antiqua" w:eastAsia="Book Antiqua" w:hAnsi="Book Antiqua" w:cs="Book Antiqua"/>
          <w:sz w:val="24"/>
          <w:szCs w:val="24"/>
        </w:rPr>
        <w:t xml:space="preserve">Simpulan penelitian ini adalah </w:t>
      </w:r>
      <w:r>
        <w:rPr>
          <w:rFonts w:ascii="Book Antiqua" w:hAnsi="Book Antiqua"/>
          <w:sz w:val="24"/>
          <w:szCs w:val="24"/>
        </w:rPr>
        <w:t>1) Media Sosial sebagai platform Dokumentasi Kearifan Lokal</w:t>
      </w:r>
      <w:r>
        <w:rPr>
          <w:rFonts w:ascii="Book Antiqua" w:hAnsi="Book Antiqua"/>
          <w:sz w:val="24"/>
          <w:szCs w:val="24"/>
          <w:lang w:val="id-ID"/>
        </w:rPr>
        <w:t xml:space="preserve">, </w:t>
      </w:r>
      <w:r>
        <w:rPr>
          <w:rFonts w:ascii="Book Antiqua" w:hAnsi="Book Antiqua"/>
          <w:sz w:val="24"/>
          <w:szCs w:val="24"/>
        </w:rPr>
        <w:t>2) Transformasi Digital untuk Edukasi Interaktif</w:t>
      </w:r>
      <w:r>
        <w:rPr>
          <w:rFonts w:ascii="Book Antiqua" w:hAnsi="Book Antiqua"/>
          <w:sz w:val="24"/>
          <w:szCs w:val="24"/>
          <w:lang w:val="id-ID"/>
        </w:rPr>
        <w:t xml:space="preserve">, </w:t>
      </w:r>
      <w:r>
        <w:rPr>
          <w:rFonts w:ascii="Book Antiqua" w:hAnsi="Book Antiqua"/>
          <w:sz w:val="24"/>
          <w:szCs w:val="24"/>
        </w:rPr>
        <w:t>3) Kolaborasi Lintas Generasi dalam Pelestarian Budaya</w:t>
      </w:r>
      <w:r>
        <w:rPr>
          <w:rFonts w:ascii="Book Antiqua" w:hAnsi="Book Antiqua"/>
          <w:sz w:val="24"/>
          <w:szCs w:val="24"/>
          <w:lang w:val="id-ID"/>
        </w:rPr>
        <w:t>,</w:t>
      </w:r>
      <w:r>
        <w:rPr>
          <w:rFonts w:ascii="Book Antiqua" w:hAnsi="Book Antiqua"/>
          <w:sz w:val="24"/>
          <w:szCs w:val="24"/>
        </w:rPr>
        <w:t xml:space="preserve"> 4) Strategi Kreatif dalam Promosi Budaya</w:t>
      </w:r>
      <w:r>
        <w:rPr>
          <w:rFonts w:ascii="Book Antiqua" w:hAnsi="Book Antiqua"/>
          <w:sz w:val="24"/>
          <w:szCs w:val="24"/>
          <w:lang w:val="id-ID"/>
        </w:rPr>
        <w:t xml:space="preserve">, </w:t>
      </w:r>
      <w:r>
        <w:rPr>
          <w:rFonts w:ascii="Book Antiqua" w:hAnsi="Book Antiqua"/>
          <w:sz w:val="24"/>
          <w:szCs w:val="24"/>
        </w:rPr>
        <w:t>5) Pembentukan Komunitas Digital Budaya.</w:t>
      </w:r>
    </w:p>
    <w:p w14:paraId="2C93D2A4" w14:textId="77777777" w:rsidR="00415F2C" w:rsidRDefault="00415F2C">
      <w:pPr>
        <w:keepNext/>
        <w:keepLines/>
        <w:tabs>
          <w:tab w:val="left" w:pos="216"/>
        </w:tabs>
        <w:spacing w:line="240" w:lineRule="auto"/>
        <w:ind w:firstLine="0"/>
        <w:jc w:val="left"/>
        <w:rPr>
          <w:rFonts w:ascii="Book Antiqua" w:eastAsia="Book Antiqua" w:hAnsi="Book Antiqua" w:cs="Book Antiqua"/>
          <w:b/>
          <w:color w:val="000000"/>
          <w:sz w:val="24"/>
          <w:szCs w:val="24"/>
        </w:rPr>
      </w:pPr>
    </w:p>
    <w:p w14:paraId="3E04BAF0" w14:textId="77777777" w:rsidR="00415F2C" w:rsidRDefault="00522BE9">
      <w:pPr>
        <w:keepNext/>
        <w:keepLines/>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REFERENSI</w:t>
      </w:r>
    </w:p>
    <w:p w14:paraId="739C2BD5"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Anonim. (2022). Peran generasi muda dalam melestarikan budaya. URL: </w:t>
      </w:r>
      <w:hyperlink r:id="rId11" w:history="1">
        <w:r w:rsidRPr="00522BE9">
          <w:rPr>
            <w:rStyle w:val="Hyperlink"/>
            <w:rFonts w:ascii="Book Antiqua" w:eastAsiaTheme="majorEastAsia" w:hAnsi="Book Antiqua"/>
            <w:sz w:val="24"/>
            <w:szCs w:val="24"/>
          </w:rPr>
          <w:t>https://eddyberutu.id/peran-generasi- muda-untuk-melestarikan-budaya/</w:t>
        </w:r>
      </w:hyperlink>
    </w:p>
    <w:p w14:paraId="494A77B3"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Carr, C. T., &amp; Hayes, R. A. (2015). Social Media: Defining, Developing, and Divining. </w:t>
      </w:r>
      <w:r w:rsidRPr="00522BE9">
        <w:rPr>
          <w:rFonts w:ascii="Book Antiqua" w:hAnsi="Book Antiqua"/>
          <w:i/>
          <w:iCs/>
          <w:sz w:val="24"/>
          <w:szCs w:val="24"/>
        </w:rPr>
        <w:t>Atlantic Journal of                                                        Communication, 23(1), 46–65.</w:t>
      </w:r>
      <w:r w:rsidRPr="00522BE9">
        <w:rPr>
          <w:rFonts w:ascii="Book Antiqua" w:hAnsi="Book Antiqua"/>
          <w:sz w:val="24"/>
          <w:szCs w:val="24"/>
        </w:rPr>
        <w:t xml:space="preserve"> </w:t>
      </w:r>
      <w:hyperlink r:id="rId12" w:history="1">
        <w:r w:rsidRPr="00522BE9">
          <w:rPr>
            <w:rStyle w:val="Hyperlink"/>
            <w:rFonts w:ascii="Book Antiqua" w:eastAsiaTheme="majorEastAsia" w:hAnsi="Book Antiqua"/>
            <w:sz w:val="24"/>
            <w:szCs w:val="24"/>
          </w:rPr>
          <w:t>https://doi.org/10.1080/15456870.2015.972282</w:t>
        </w:r>
      </w:hyperlink>
    </w:p>
    <w:p w14:paraId="48DEE877"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Faizi, R., El Afia, A., &amp; Chiheb, R. (2013). Exploring the Potential Benefits of Using Social Media in Education.   </w:t>
      </w:r>
      <w:r w:rsidRPr="00522BE9">
        <w:rPr>
          <w:rFonts w:ascii="Book Antiqua" w:hAnsi="Book Antiqua"/>
          <w:i/>
          <w:iCs/>
          <w:sz w:val="24"/>
          <w:szCs w:val="24"/>
        </w:rPr>
        <w:t>International Journal of Engineering Pedagogy (IJEP), 3(4), 50.</w:t>
      </w:r>
      <w:hyperlink r:id="rId13" w:history="1">
        <w:r w:rsidRPr="00522BE9">
          <w:rPr>
            <w:rStyle w:val="Hyperlink"/>
            <w:rFonts w:ascii="Book Antiqua" w:eastAsiaTheme="majorEastAsia" w:hAnsi="Book Antiqua"/>
            <w:sz w:val="24"/>
            <w:szCs w:val="24"/>
          </w:rPr>
          <w:t xml:space="preserve"> https://doi.org/10.3991/ijep.v3i4.2836</w:t>
        </w:r>
      </w:hyperlink>
    </w:p>
    <w:p w14:paraId="2A89004A"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Fauziyah, L. (2021). </w:t>
      </w:r>
      <w:r w:rsidRPr="00522BE9">
        <w:rPr>
          <w:rFonts w:ascii="Book Antiqua" w:hAnsi="Book Antiqua"/>
          <w:i/>
          <w:iCs/>
          <w:sz w:val="24"/>
          <w:szCs w:val="24"/>
        </w:rPr>
        <w:t xml:space="preserve">Peran Generasi Muda dalam Mempertahankan Kearifan Budaya Lokal. </w:t>
      </w:r>
      <w:r w:rsidRPr="00522BE9">
        <w:rPr>
          <w:rFonts w:ascii="Book Antiqua" w:hAnsi="Book Antiqua"/>
          <w:sz w:val="24"/>
          <w:szCs w:val="24"/>
        </w:rPr>
        <w:t>Kompasiana, 1.</w:t>
      </w:r>
    </w:p>
    <w:p w14:paraId="64DCCF4D"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Hasan, Muhammad Tholchah. (2000). </w:t>
      </w:r>
      <w:r w:rsidRPr="00522BE9">
        <w:rPr>
          <w:rFonts w:ascii="Book Antiqua" w:hAnsi="Book Antiqua"/>
          <w:i/>
          <w:iCs/>
          <w:sz w:val="24"/>
          <w:szCs w:val="24"/>
        </w:rPr>
        <w:t>Prospek Islam dalam menghadapi tantangan zaman. Lantabora Press.</w:t>
      </w:r>
    </w:p>
    <w:p w14:paraId="0609B490" w14:textId="77777777" w:rsidR="00AB0747" w:rsidRPr="00522BE9" w:rsidRDefault="00AB0747" w:rsidP="00AB0747">
      <w:pPr>
        <w:spacing w:after="200" w:line="240" w:lineRule="auto"/>
        <w:ind w:left="567" w:hanging="567"/>
        <w:rPr>
          <w:rFonts w:ascii="Book Antiqua" w:hAnsi="Book Antiqua"/>
          <w:i/>
          <w:iCs/>
          <w:sz w:val="24"/>
          <w:szCs w:val="24"/>
        </w:rPr>
      </w:pPr>
      <w:r w:rsidRPr="00522BE9">
        <w:rPr>
          <w:rFonts w:ascii="Book Antiqua" w:hAnsi="Book Antiqua"/>
          <w:sz w:val="24"/>
          <w:szCs w:val="24"/>
        </w:rPr>
        <w:lastRenderedPageBreak/>
        <w:t>Hasanadi, H. (2019). Seni dendang Bengkulu Selatan.</w:t>
      </w:r>
      <w:r w:rsidRPr="00522BE9">
        <w:rPr>
          <w:rFonts w:ascii="Book Antiqua" w:hAnsi="Book Antiqua"/>
          <w:i/>
          <w:iCs/>
          <w:sz w:val="24"/>
          <w:szCs w:val="24"/>
        </w:rPr>
        <w:t xml:space="preserve"> Jurnal Penelitian Sejarah dan Budaya, 4(2), 1134–1155. </w:t>
      </w:r>
      <w:hyperlink r:id="rId14" w:history="1">
        <w:r w:rsidRPr="00522BE9">
          <w:rPr>
            <w:rStyle w:val="Hyperlink"/>
            <w:rFonts w:ascii="Book Antiqua" w:eastAsiaTheme="majorEastAsia" w:hAnsi="Book Antiqua"/>
            <w:sz w:val="24"/>
            <w:szCs w:val="24"/>
          </w:rPr>
          <w:t>https://doi.org/10.36424/jpsb.v4i2.63</w:t>
        </w:r>
      </w:hyperlink>
    </w:p>
    <w:p w14:paraId="3D60A7E4"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Hermi Yanzi, Adha Muhammad, dkk. (2019). </w:t>
      </w:r>
      <w:r w:rsidRPr="00522BE9">
        <w:rPr>
          <w:rFonts w:ascii="Book Antiqua" w:hAnsi="Book Antiqua"/>
          <w:i/>
          <w:iCs/>
          <w:sz w:val="24"/>
          <w:szCs w:val="24"/>
        </w:rPr>
        <w:t>Urgensi Nilai-Nilai Pancasila Sebagai Dasar Pengembangan Iptek Untuk Merespon Revolusi Industri 4.0. Iptek untuk Merespon Revolusi Industri 4.0.</w:t>
      </w:r>
    </w:p>
    <w:p w14:paraId="4015BCC8" w14:textId="77777777" w:rsidR="00AB0747" w:rsidRPr="00522BE9" w:rsidRDefault="00AB0747" w:rsidP="00AB0747">
      <w:pPr>
        <w:spacing w:after="200" w:line="240" w:lineRule="auto"/>
        <w:ind w:left="567" w:hanging="567"/>
        <w:rPr>
          <w:rFonts w:ascii="Book Antiqua" w:eastAsia="Book Antiqua" w:hAnsi="Book Antiqua" w:cs="Book Antiqua"/>
          <w:sz w:val="24"/>
          <w:szCs w:val="24"/>
        </w:rPr>
      </w:pPr>
      <w:r w:rsidRPr="00522BE9">
        <w:rPr>
          <w:rFonts w:ascii="Book Antiqua" w:eastAsia="Book Antiqua" w:hAnsi="Book Antiqua" w:cs="Book Antiqua"/>
          <w:sz w:val="24"/>
          <w:szCs w:val="24"/>
        </w:rPr>
        <w:t xml:space="preserve">Hidayat, A. (2015). Unsur-unsur intrinsik dan nilai-nilai psikologis dalam naskah drama “matahari di sebuah jalan kecil” karya Arifin C Noor sebagai alternatif pemilihan bahan ajar sastra di SMA. </w:t>
      </w:r>
      <w:r w:rsidRPr="00522BE9">
        <w:rPr>
          <w:rFonts w:ascii="Book Antiqua" w:eastAsia="Book Antiqua" w:hAnsi="Book Antiqua" w:cs="Book Antiqua"/>
          <w:i/>
          <w:sz w:val="24"/>
          <w:szCs w:val="24"/>
        </w:rPr>
        <w:t>Jurnal Pendidikan Bahasa dan Sastra Indonesia, 5</w:t>
      </w:r>
      <w:r w:rsidRPr="00522BE9">
        <w:rPr>
          <w:rFonts w:ascii="Book Antiqua" w:eastAsia="Book Antiqua" w:hAnsi="Book Antiqua" w:cs="Book Antiqua"/>
          <w:sz w:val="24"/>
          <w:szCs w:val="24"/>
        </w:rPr>
        <w:t xml:space="preserve">(2), 1-6. </w:t>
      </w:r>
      <w:hyperlink r:id="rId15">
        <w:r w:rsidRPr="00522BE9">
          <w:rPr>
            <w:rFonts w:ascii="Book Antiqua" w:eastAsia="Book Antiqua" w:hAnsi="Book Antiqua" w:cs="Book Antiqua"/>
            <w:color w:val="0000FF"/>
            <w:sz w:val="24"/>
            <w:szCs w:val="24"/>
            <w:u w:val="single"/>
          </w:rPr>
          <w:t>https://doi.org/10.25134/fjpbsi.v5i2.183</w:t>
        </w:r>
      </w:hyperlink>
      <w:r w:rsidRPr="00522BE9">
        <w:rPr>
          <w:rFonts w:ascii="Book Antiqua" w:eastAsia="Book Antiqua" w:hAnsi="Book Antiqua" w:cs="Book Antiqua"/>
          <w:sz w:val="24"/>
          <w:szCs w:val="24"/>
        </w:rPr>
        <w:t xml:space="preserve">. </w:t>
      </w:r>
    </w:p>
    <w:p w14:paraId="1CF80E2A" w14:textId="77777777" w:rsidR="00AB0747" w:rsidRPr="00522BE9" w:rsidRDefault="00AB0747" w:rsidP="00AB0747">
      <w:pPr>
        <w:spacing w:after="200" w:line="240" w:lineRule="auto"/>
        <w:ind w:left="567" w:hanging="567"/>
        <w:rPr>
          <w:rFonts w:ascii="Book Antiqua" w:eastAsia="Book Antiqua" w:hAnsi="Book Antiqua" w:cs="Book Antiqua"/>
          <w:bCs/>
          <w:sz w:val="24"/>
          <w:szCs w:val="24"/>
        </w:rPr>
      </w:pPr>
      <w:r w:rsidRPr="00522BE9">
        <w:rPr>
          <w:rFonts w:ascii="Book Antiqua" w:eastAsia="Book Antiqua" w:hAnsi="Book Antiqua" w:cs="Book Antiqua"/>
          <w:bCs/>
          <w:sz w:val="24"/>
          <w:szCs w:val="24"/>
        </w:rPr>
        <w:t>Hikmah, Y. D., &amp; Hasanudin, C. (2024, June). Eksplorasi konsep matematika dalam pembelajaran di sekolah dasar. In </w:t>
      </w:r>
      <w:r w:rsidRPr="00522BE9">
        <w:rPr>
          <w:rFonts w:ascii="Book Antiqua" w:eastAsia="Book Antiqua" w:hAnsi="Book Antiqua" w:cs="Book Antiqua"/>
          <w:bCs/>
          <w:i/>
          <w:iCs/>
          <w:sz w:val="24"/>
          <w:szCs w:val="24"/>
        </w:rPr>
        <w:t>Seminar Nasional dan Gelar Karya Produk Hasil Pembelajaran</w:t>
      </w:r>
      <w:r w:rsidRPr="00522BE9">
        <w:rPr>
          <w:rFonts w:ascii="Book Antiqua" w:eastAsia="Book Antiqua" w:hAnsi="Book Antiqua" w:cs="Book Antiqua"/>
          <w:bCs/>
          <w:sz w:val="24"/>
          <w:szCs w:val="24"/>
        </w:rPr>
        <w:t xml:space="preserve"> (Vol. 2, No. 1, pp. 316-324). </w:t>
      </w:r>
      <w:hyperlink r:id="rId16" w:history="1">
        <w:r w:rsidRPr="00522BE9">
          <w:rPr>
            <w:rStyle w:val="Hyperlink"/>
            <w:rFonts w:ascii="Book Antiqua" w:eastAsia="Book Antiqua" w:hAnsi="Book Antiqua" w:cs="Book Antiqua"/>
            <w:bCs/>
            <w:sz w:val="24"/>
            <w:szCs w:val="24"/>
          </w:rPr>
          <w:t>https://prosiding.ikippgribojonegoro.ac.id/index.php/SNGK/article/view/2382/pdf</w:t>
        </w:r>
      </w:hyperlink>
      <w:r w:rsidRPr="00522BE9">
        <w:rPr>
          <w:rFonts w:ascii="Book Antiqua" w:eastAsia="Book Antiqua" w:hAnsi="Book Antiqua" w:cs="Book Antiqua"/>
          <w:bCs/>
          <w:sz w:val="24"/>
          <w:szCs w:val="24"/>
        </w:rPr>
        <w:t>.</w:t>
      </w:r>
    </w:p>
    <w:p w14:paraId="73441C00" w14:textId="77777777" w:rsidR="00AB0747" w:rsidRPr="00522BE9" w:rsidRDefault="00AB0747" w:rsidP="00AB0747">
      <w:pPr>
        <w:spacing w:after="200" w:line="240" w:lineRule="auto"/>
        <w:ind w:left="567" w:hanging="567"/>
        <w:rPr>
          <w:rFonts w:ascii="Book Antiqua" w:eastAsia="Book Antiqua" w:hAnsi="Book Antiqua" w:cs="Book Antiqua"/>
          <w:sz w:val="24"/>
          <w:szCs w:val="24"/>
        </w:rPr>
      </w:pPr>
      <w:r w:rsidRPr="00522BE9">
        <w:rPr>
          <w:rFonts w:ascii="Book Antiqua" w:eastAsia="Book Antiqua" w:hAnsi="Book Antiqua" w:cs="Book Antiqua"/>
          <w:sz w:val="24"/>
          <w:szCs w:val="24"/>
        </w:rPr>
        <w:t xml:space="preserve">Hirata, A. (2020). </w:t>
      </w:r>
      <w:r w:rsidRPr="00522BE9">
        <w:rPr>
          <w:rFonts w:ascii="Book Antiqua" w:eastAsia="Book Antiqua" w:hAnsi="Book Antiqua" w:cs="Book Antiqua"/>
          <w:i/>
          <w:sz w:val="24"/>
          <w:szCs w:val="24"/>
        </w:rPr>
        <w:t>Guru aini</w:t>
      </w:r>
      <w:r w:rsidRPr="00522BE9">
        <w:rPr>
          <w:rFonts w:ascii="Book Antiqua" w:eastAsia="Book Antiqua" w:hAnsi="Book Antiqua" w:cs="Book Antiqua"/>
          <w:sz w:val="24"/>
          <w:szCs w:val="24"/>
        </w:rPr>
        <w:t>. Yogyakarta, Indonesia: PT Bentang Perkasa.</w:t>
      </w:r>
    </w:p>
    <w:p w14:paraId="16F3156D"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Irianto, Putri Oviolanda, &amp; Febrianti, Lifia Yola. (2017). </w:t>
      </w:r>
      <w:r w:rsidRPr="00522BE9">
        <w:rPr>
          <w:rFonts w:ascii="Book Antiqua" w:hAnsi="Book Antiqua"/>
          <w:i/>
          <w:iCs/>
          <w:sz w:val="24"/>
          <w:szCs w:val="24"/>
        </w:rPr>
        <w:t>Pentingnya Penguasaan Literasi Bagi Generasi Muda Dalam Menghadapi MEA</w:t>
      </w:r>
      <w:r w:rsidRPr="00522BE9">
        <w:rPr>
          <w:rFonts w:ascii="Book Antiqua" w:hAnsi="Book Antiqua"/>
          <w:sz w:val="24"/>
          <w:szCs w:val="24"/>
        </w:rPr>
        <w:t xml:space="preserve">. Conference Proceedings Center for International Language Development of Unissula, 640–647. Retrieved from </w:t>
      </w:r>
      <w:hyperlink r:id="rId17" w:history="1">
        <w:r w:rsidRPr="00522BE9">
          <w:rPr>
            <w:rStyle w:val="Hyperlink"/>
            <w:rFonts w:ascii="Book Antiqua" w:eastAsiaTheme="majorEastAsia" w:hAnsi="Book Antiqua"/>
            <w:sz w:val="24"/>
            <w:szCs w:val="24"/>
          </w:rPr>
          <w:t>http://jurnal.unissula.ac.id/index.php/ELIC/article/view/1282</w:t>
        </w:r>
      </w:hyperlink>
    </w:p>
    <w:p w14:paraId="0689BFF5"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Koentjaraningrat. (2009). </w:t>
      </w:r>
      <w:r w:rsidRPr="00522BE9">
        <w:rPr>
          <w:rFonts w:ascii="Book Antiqua" w:hAnsi="Book Antiqua"/>
          <w:i/>
          <w:iCs/>
          <w:sz w:val="24"/>
          <w:szCs w:val="24"/>
        </w:rPr>
        <w:t>Pengantar Ilmu Antropologi</w:t>
      </w:r>
      <w:r w:rsidRPr="00522BE9">
        <w:rPr>
          <w:rFonts w:ascii="Book Antiqua" w:hAnsi="Book Antiqua"/>
          <w:sz w:val="24"/>
          <w:szCs w:val="24"/>
        </w:rPr>
        <w:t>. Jakarta: Rineka Cipta.</w:t>
      </w:r>
    </w:p>
    <w:p w14:paraId="6D95C6CF"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Kokkinos, C. D. (2016). Technology and Critical Cultural Understanding. </w:t>
      </w:r>
      <w:r w:rsidRPr="00522BE9">
        <w:rPr>
          <w:rFonts w:ascii="Book Antiqua" w:hAnsi="Book Antiqua"/>
          <w:i/>
          <w:iCs/>
          <w:sz w:val="24"/>
          <w:szCs w:val="24"/>
        </w:rPr>
        <w:t xml:space="preserve">Open Journal of Philosophy, 6(2), 184–193. </w:t>
      </w:r>
      <w:hyperlink r:id="rId18" w:history="1">
        <w:r w:rsidRPr="00522BE9">
          <w:rPr>
            <w:rStyle w:val="Hyperlink"/>
            <w:rFonts w:ascii="Book Antiqua" w:eastAsiaTheme="majorEastAsia" w:hAnsi="Book Antiqua"/>
            <w:sz w:val="24"/>
            <w:szCs w:val="24"/>
          </w:rPr>
          <w:t>https://doi.org/10.4236/ojpp.2016.62017</w:t>
        </w:r>
      </w:hyperlink>
    </w:p>
    <w:p w14:paraId="25F8E4DE"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Mayhand, D. E. (2020). Globalization: Understanding the Impact of Cultural Differences in Global Organizations. </w:t>
      </w:r>
      <w:r w:rsidRPr="00522BE9">
        <w:rPr>
          <w:rFonts w:ascii="Book Antiqua" w:hAnsi="Book Antiqua"/>
          <w:i/>
          <w:iCs/>
          <w:sz w:val="24"/>
          <w:szCs w:val="24"/>
        </w:rPr>
        <w:t xml:space="preserve">Open Journal of Leadership, 9(1), 34–52. </w:t>
      </w:r>
      <w:hyperlink r:id="rId19" w:history="1">
        <w:r w:rsidRPr="00522BE9">
          <w:rPr>
            <w:rStyle w:val="Hyperlink"/>
            <w:rFonts w:ascii="Book Antiqua" w:eastAsiaTheme="majorEastAsia" w:hAnsi="Book Antiqua"/>
            <w:sz w:val="24"/>
            <w:szCs w:val="24"/>
          </w:rPr>
          <w:t>https://doi.org/10.4236/ojl.2020.91003</w:t>
        </w:r>
      </w:hyperlink>
    </w:p>
    <w:p w14:paraId="5870E141"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Najid, Annisah. (2015). </w:t>
      </w:r>
      <w:r w:rsidRPr="00522BE9">
        <w:rPr>
          <w:rFonts w:ascii="Book Antiqua" w:hAnsi="Book Antiqua"/>
          <w:i/>
          <w:iCs/>
          <w:sz w:val="24"/>
          <w:szCs w:val="24"/>
        </w:rPr>
        <w:t>Pengembangan Buku Suplemen Kimia Berbasis Kearifan Lokal Tangerang.</w:t>
      </w:r>
      <w:r w:rsidRPr="00522BE9">
        <w:rPr>
          <w:rFonts w:ascii="Book Antiqua" w:hAnsi="Book Antiqua"/>
          <w:sz w:val="24"/>
          <w:szCs w:val="24"/>
        </w:rPr>
        <w:t xml:space="preserve"> Skripsi tidak dipublikasikan. UIN Syarif Hidayatullah Jakarta.</w:t>
      </w:r>
    </w:p>
    <w:p w14:paraId="7D7E54D3"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Nasrullah, Rulli. (2015). </w:t>
      </w:r>
      <w:r w:rsidRPr="00522BE9">
        <w:rPr>
          <w:rFonts w:ascii="Book Antiqua" w:hAnsi="Book Antiqua"/>
          <w:i/>
          <w:iCs/>
          <w:sz w:val="24"/>
          <w:szCs w:val="24"/>
        </w:rPr>
        <w:t>Media Sosial: Perspektif Komunikasi, Budaya, dan Sosioteknologi</w:t>
      </w:r>
      <w:r w:rsidRPr="00522BE9">
        <w:rPr>
          <w:rFonts w:ascii="Book Antiqua" w:hAnsi="Book Antiqua"/>
          <w:sz w:val="24"/>
          <w:szCs w:val="24"/>
        </w:rPr>
        <w:t>. Bandung: Simbiosa Rekatama Media.</w:t>
      </w:r>
    </w:p>
    <w:p w14:paraId="7289172A"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O'Keeffe, G. S., Clarke-Pearson, K., Mulligan, D. A., Altmann, T. R., Brown, A., Christakis, D. A., Falik, H. L., Hill, D. L., Hogan, M. J., Levine, A. E., &amp; Nelson, K. G. (2011). </w:t>
      </w:r>
      <w:r w:rsidRPr="00522BE9">
        <w:rPr>
          <w:rFonts w:ascii="Book Antiqua" w:hAnsi="Book Antiqua"/>
          <w:i/>
          <w:iCs/>
          <w:sz w:val="24"/>
          <w:szCs w:val="24"/>
        </w:rPr>
        <w:t>Clinical report: The impact of social media on children, adolescents, and families</w:t>
      </w:r>
      <w:r w:rsidRPr="00522BE9">
        <w:rPr>
          <w:rFonts w:ascii="Book Antiqua" w:hAnsi="Book Antiqua"/>
          <w:sz w:val="24"/>
          <w:szCs w:val="24"/>
        </w:rPr>
        <w:t xml:space="preserve">. Pediatrics, 127(4), 800–804. </w:t>
      </w:r>
      <w:hyperlink r:id="rId20" w:history="1">
        <w:r w:rsidRPr="00522BE9">
          <w:rPr>
            <w:rStyle w:val="Hyperlink"/>
            <w:rFonts w:ascii="Book Antiqua" w:eastAsiaTheme="majorEastAsia" w:hAnsi="Book Antiqua"/>
            <w:sz w:val="24"/>
            <w:szCs w:val="24"/>
          </w:rPr>
          <w:t>https://doi.org/10.1542/peds.2011-0054</w:t>
        </w:r>
      </w:hyperlink>
    </w:p>
    <w:p w14:paraId="104A917C"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Puntoadi, Danis. (2011). </w:t>
      </w:r>
      <w:r w:rsidRPr="00522BE9">
        <w:rPr>
          <w:rFonts w:ascii="Book Antiqua" w:hAnsi="Book Antiqua"/>
          <w:i/>
          <w:iCs/>
          <w:sz w:val="24"/>
          <w:szCs w:val="24"/>
        </w:rPr>
        <w:t>Menciptakan Penjualan Melalui Social Media</w:t>
      </w:r>
      <w:r w:rsidRPr="00522BE9">
        <w:rPr>
          <w:rFonts w:ascii="Book Antiqua" w:hAnsi="Book Antiqua"/>
          <w:sz w:val="24"/>
          <w:szCs w:val="24"/>
        </w:rPr>
        <w:t>. Jakarta: Elex Media Komputindo.</w:t>
      </w:r>
    </w:p>
    <w:p w14:paraId="17BBF2D4" w14:textId="77777777" w:rsidR="00AB0747" w:rsidRPr="00522BE9" w:rsidRDefault="00AB0747" w:rsidP="00AB0747">
      <w:pPr>
        <w:spacing w:after="200" w:line="240" w:lineRule="auto"/>
        <w:ind w:left="567" w:hanging="567"/>
        <w:rPr>
          <w:rFonts w:ascii="Book Antiqua" w:eastAsia="Book Antiqua" w:hAnsi="Book Antiqua" w:cs="Book Antiqua"/>
          <w:color w:val="000000"/>
          <w:sz w:val="24"/>
          <w:szCs w:val="24"/>
        </w:rPr>
      </w:pPr>
      <w:r w:rsidRPr="00522BE9">
        <w:rPr>
          <w:rFonts w:ascii="Book Antiqua" w:eastAsia="Book Antiqua" w:hAnsi="Book Antiqua" w:cs="Book Antiqua"/>
          <w:color w:val="000000"/>
          <w:sz w:val="24"/>
          <w:szCs w:val="24"/>
        </w:rPr>
        <w:t xml:space="preserve">Puspita, W. R., &amp; Hasanudin, C. (2024, June). Strategi untuk meningkatkan kemampuan berhitung dasar matematika siswa sekolah dasar melalui metode </w:t>
      </w:r>
      <w:r w:rsidRPr="00522BE9">
        <w:rPr>
          <w:rFonts w:ascii="Book Antiqua" w:eastAsia="Book Antiqua" w:hAnsi="Book Antiqua" w:cs="Book Antiqua"/>
          <w:color w:val="000000"/>
          <w:sz w:val="24"/>
          <w:szCs w:val="24"/>
        </w:rPr>
        <w:lastRenderedPageBreak/>
        <w:t>drill. In </w:t>
      </w:r>
      <w:r w:rsidRPr="00522BE9">
        <w:rPr>
          <w:rFonts w:ascii="Book Antiqua" w:eastAsia="Book Antiqua" w:hAnsi="Book Antiqua" w:cs="Book Antiqua"/>
          <w:i/>
          <w:iCs/>
          <w:color w:val="000000"/>
          <w:sz w:val="24"/>
          <w:szCs w:val="24"/>
        </w:rPr>
        <w:t>Seminar Nasional dan Gelar Karya Produk Hasil Pembelajaran</w:t>
      </w:r>
      <w:r w:rsidRPr="00522BE9">
        <w:rPr>
          <w:rFonts w:ascii="Book Antiqua" w:eastAsia="Book Antiqua" w:hAnsi="Book Antiqua" w:cs="Book Antiqua"/>
          <w:color w:val="000000"/>
          <w:sz w:val="24"/>
          <w:szCs w:val="24"/>
        </w:rPr>
        <w:t xml:space="preserve"> (Vol. 2, No. 1, pp. 1552-1561). </w:t>
      </w:r>
      <w:hyperlink r:id="rId21" w:history="1">
        <w:r w:rsidRPr="00522BE9">
          <w:rPr>
            <w:rStyle w:val="Hyperlink"/>
            <w:rFonts w:ascii="Book Antiqua" w:eastAsia="Book Antiqua" w:hAnsi="Book Antiqua" w:cs="Book Antiqua"/>
            <w:sz w:val="24"/>
            <w:szCs w:val="24"/>
          </w:rPr>
          <w:t>https://prosiding.ikippgribojonegoro.ac.id/index.php/SNGK/article/view/2585</w:t>
        </w:r>
      </w:hyperlink>
      <w:r w:rsidRPr="00522BE9">
        <w:rPr>
          <w:rFonts w:ascii="Book Antiqua" w:eastAsia="Book Antiqua" w:hAnsi="Book Antiqua" w:cs="Book Antiqua"/>
          <w:color w:val="000000"/>
          <w:sz w:val="24"/>
          <w:szCs w:val="24"/>
        </w:rPr>
        <w:t>.</w:t>
      </w:r>
    </w:p>
    <w:p w14:paraId="205F6C02"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Samani, Muchlas &amp; Hariyanto. (2016). </w:t>
      </w:r>
      <w:r w:rsidRPr="00522BE9">
        <w:rPr>
          <w:rFonts w:ascii="Book Antiqua" w:hAnsi="Book Antiqua"/>
          <w:i/>
          <w:iCs/>
          <w:sz w:val="24"/>
          <w:szCs w:val="24"/>
        </w:rPr>
        <w:t>Konsep dan Model Pendidikan Karakter.</w:t>
      </w:r>
      <w:r w:rsidRPr="00522BE9">
        <w:rPr>
          <w:rFonts w:ascii="Book Antiqua" w:hAnsi="Book Antiqua"/>
          <w:sz w:val="24"/>
          <w:szCs w:val="24"/>
        </w:rPr>
        <w:t xml:space="preserve"> Bandung: PT Remaja Rosdakarya.</w:t>
      </w:r>
    </w:p>
    <w:p w14:paraId="07BF5D06"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Sibarani, R. (2012).</w:t>
      </w:r>
      <w:r w:rsidRPr="00522BE9">
        <w:rPr>
          <w:rFonts w:ascii="Book Antiqua" w:hAnsi="Book Antiqua"/>
          <w:i/>
          <w:iCs/>
          <w:sz w:val="24"/>
          <w:szCs w:val="24"/>
        </w:rPr>
        <w:t xml:space="preserve"> Kearifan Lokal: Hakikat, Peran dan Metode Tradisi Lisan</w:t>
      </w:r>
      <w:r w:rsidRPr="00522BE9">
        <w:rPr>
          <w:rFonts w:ascii="Book Antiqua" w:hAnsi="Book Antiqua"/>
          <w:sz w:val="24"/>
          <w:szCs w:val="24"/>
        </w:rPr>
        <w:t>. Jakarta: Asosiasi Tradisi Lisan.</w:t>
      </w:r>
    </w:p>
    <w:p w14:paraId="53606FEB"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Sumarmi &amp; Amirudin. (2014). </w:t>
      </w:r>
      <w:r w:rsidRPr="00522BE9">
        <w:rPr>
          <w:rFonts w:ascii="Book Antiqua" w:hAnsi="Book Antiqua"/>
          <w:i/>
          <w:iCs/>
          <w:sz w:val="24"/>
          <w:szCs w:val="24"/>
        </w:rPr>
        <w:t>Pengelolaan Lingkungan Berbasis Kearifan Lokal</w:t>
      </w:r>
      <w:r w:rsidRPr="00522BE9">
        <w:rPr>
          <w:rFonts w:ascii="Book Antiqua" w:hAnsi="Book Antiqua"/>
          <w:sz w:val="24"/>
          <w:szCs w:val="24"/>
        </w:rPr>
        <w:t>. Malang: Aditya Media Publishing.</w:t>
      </w:r>
    </w:p>
    <w:p w14:paraId="35B261D0"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Triastuti, Endah., Adrianto, D., &amp; D. A. N. (2017). </w:t>
      </w:r>
      <w:r w:rsidRPr="00522BE9">
        <w:rPr>
          <w:rFonts w:ascii="Book Antiqua" w:hAnsi="Book Antiqua"/>
          <w:i/>
          <w:iCs/>
          <w:sz w:val="24"/>
          <w:szCs w:val="24"/>
        </w:rPr>
        <w:t>Kajian Dampak Penggunaan Media Sosial Bagi Anak Dan Remaja.</w:t>
      </w:r>
    </w:p>
    <w:p w14:paraId="175F416E" w14:textId="77777777" w:rsidR="00AB0747" w:rsidRPr="00522BE9" w:rsidRDefault="00AB0747" w:rsidP="00AB0747">
      <w:pPr>
        <w:spacing w:after="200" w:line="240" w:lineRule="auto"/>
        <w:ind w:left="567" w:hanging="567"/>
        <w:rPr>
          <w:rFonts w:ascii="Book Antiqua" w:eastAsia="Book Antiqua" w:hAnsi="Book Antiqua" w:cs="Book Antiqua"/>
          <w:bCs/>
          <w:sz w:val="24"/>
          <w:szCs w:val="24"/>
        </w:rPr>
      </w:pPr>
      <w:r w:rsidRPr="00522BE9">
        <w:rPr>
          <w:rFonts w:ascii="Book Antiqua" w:eastAsia="Book Antiqua" w:hAnsi="Book Antiqua" w:cs="Book Antiqua"/>
          <w:bCs/>
          <w:sz w:val="24"/>
          <w:szCs w:val="24"/>
        </w:rPr>
        <w:t>Umaroh, C., &amp; Hasanudin, C. (2024, June). Teori bilangan: Mengenalkan jenis-jenis bilangan pada anak usia dasar. In </w:t>
      </w:r>
      <w:r w:rsidRPr="00522BE9">
        <w:rPr>
          <w:rFonts w:ascii="Book Antiqua" w:eastAsia="Book Antiqua" w:hAnsi="Book Antiqua" w:cs="Book Antiqua"/>
          <w:bCs/>
          <w:i/>
          <w:iCs/>
          <w:sz w:val="24"/>
          <w:szCs w:val="24"/>
        </w:rPr>
        <w:t>Seminar Nasional dan Gelar Karya Produk Hasil Pembelajaran</w:t>
      </w:r>
      <w:r w:rsidRPr="00522BE9">
        <w:rPr>
          <w:rFonts w:ascii="Book Antiqua" w:eastAsia="Book Antiqua" w:hAnsi="Book Antiqua" w:cs="Book Antiqua"/>
          <w:bCs/>
          <w:sz w:val="24"/>
          <w:szCs w:val="24"/>
        </w:rPr>
        <w:t xml:space="preserve"> (Vol. 2, No. 1, pp. 370-378). </w:t>
      </w:r>
      <w:hyperlink r:id="rId22" w:history="1">
        <w:r w:rsidRPr="00522BE9">
          <w:rPr>
            <w:rStyle w:val="Hyperlink"/>
            <w:rFonts w:ascii="Book Antiqua" w:eastAsia="Book Antiqua" w:hAnsi="Book Antiqua" w:cs="Book Antiqua"/>
            <w:bCs/>
            <w:sz w:val="24"/>
            <w:szCs w:val="24"/>
          </w:rPr>
          <w:t>https://prosiding.ikippgribojonegoro.ac.id/index.php/SNGK/article/view/2457/pdf</w:t>
        </w:r>
      </w:hyperlink>
      <w:r w:rsidRPr="00522BE9">
        <w:rPr>
          <w:rFonts w:ascii="Book Antiqua" w:eastAsia="Book Antiqua" w:hAnsi="Book Antiqua" w:cs="Book Antiqua"/>
          <w:bCs/>
          <w:sz w:val="24"/>
          <w:szCs w:val="24"/>
        </w:rPr>
        <w:t>.</w:t>
      </w:r>
    </w:p>
    <w:p w14:paraId="3C5DDCC6" w14:textId="77777777" w:rsidR="00AB0747" w:rsidRPr="00522BE9" w:rsidRDefault="00AB0747" w:rsidP="00AB0747">
      <w:pPr>
        <w:spacing w:after="200" w:line="240" w:lineRule="auto"/>
        <w:ind w:left="567" w:hanging="567"/>
        <w:rPr>
          <w:rFonts w:ascii="Book Antiqua" w:hAnsi="Book Antiqua"/>
          <w:sz w:val="24"/>
          <w:szCs w:val="24"/>
        </w:rPr>
      </w:pPr>
      <w:r w:rsidRPr="00522BE9">
        <w:rPr>
          <w:rFonts w:ascii="Book Antiqua" w:hAnsi="Book Antiqua"/>
          <w:sz w:val="24"/>
          <w:szCs w:val="24"/>
        </w:rPr>
        <w:t xml:space="preserve">Widada, C. K. (2018). Mengambil Manfaat Media Sosial dalam Pengembangan Layanan. </w:t>
      </w:r>
      <w:r w:rsidRPr="00522BE9">
        <w:rPr>
          <w:rFonts w:ascii="Book Antiqua" w:hAnsi="Book Antiqua"/>
          <w:i/>
          <w:iCs/>
          <w:sz w:val="24"/>
          <w:szCs w:val="24"/>
        </w:rPr>
        <w:t xml:space="preserve">Journal of Documentation and Information Science, 2(1), 23–30. </w:t>
      </w:r>
      <w:hyperlink r:id="rId23" w:history="1">
        <w:r w:rsidRPr="00522BE9">
          <w:rPr>
            <w:rStyle w:val="Hyperlink"/>
            <w:rFonts w:ascii="Book Antiqua" w:eastAsiaTheme="majorEastAsia" w:hAnsi="Book Antiqua"/>
            <w:sz w:val="24"/>
            <w:szCs w:val="24"/>
          </w:rPr>
          <w:t>https://doi.org/10.33505/jodis.v2i1.130</w:t>
        </w:r>
      </w:hyperlink>
    </w:p>
    <w:p w14:paraId="77EB5A2A" w14:textId="77777777" w:rsidR="00AB0747" w:rsidRPr="00522BE9" w:rsidRDefault="00AB0747" w:rsidP="00AB0747">
      <w:pPr>
        <w:spacing w:after="200" w:line="240" w:lineRule="auto"/>
        <w:ind w:left="567" w:hanging="567"/>
        <w:rPr>
          <w:rFonts w:ascii="Book Antiqua" w:eastAsia="Book Antiqua" w:hAnsi="Book Antiqua" w:cs="Book Antiqua"/>
          <w:color w:val="000000"/>
          <w:sz w:val="24"/>
          <w:szCs w:val="24"/>
        </w:rPr>
      </w:pPr>
      <w:r w:rsidRPr="00522BE9">
        <w:rPr>
          <w:rFonts w:ascii="Book Antiqua" w:hAnsi="Book Antiqua"/>
          <w:sz w:val="24"/>
          <w:szCs w:val="24"/>
        </w:rPr>
        <w:t xml:space="preserve">Zuhud, E. A. (2008). </w:t>
      </w:r>
      <w:r w:rsidRPr="00522BE9">
        <w:rPr>
          <w:rFonts w:ascii="Book Antiqua" w:hAnsi="Book Antiqua"/>
          <w:i/>
          <w:iCs/>
          <w:sz w:val="24"/>
          <w:szCs w:val="24"/>
        </w:rPr>
        <w:t>Kearifan Lokal dalam Konservasi Keanekaragaman Hayati.</w:t>
      </w:r>
      <w:r w:rsidRPr="00522BE9">
        <w:rPr>
          <w:rFonts w:ascii="Book Antiqua" w:hAnsi="Book Antiqua"/>
          <w:sz w:val="24"/>
          <w:szCs w:val="24"/>
        </w:rPr>
        <w:t xml:space="preserve"> Jakarta: Direktorat Jenderal Perlindungan Hutan dan Konservasi Alam, Departemen Kehutanan.</w:t>
      </w:r>
    </w:p>
    <w:p w14:paraId="5055A7EC" w14:textId="77777777" w:rsidR="00415F2C" w:rsidRDefault="00415F2C"/>
    <w:p w14:paraId="0117F4A3" w14:textId="77777777" w:rsidR="00415F2C" w:rsidRDefault="00415F2C"/>
    <w:p w14:paraId="0F10B3E9" w14:textId="77777777" w:rsidR="00415F2C" w:rsidRDefault="00415F2C"/>
    <w:p w14:paraId="0ED2A8F2" w14:textId="77777777" w:rsidR="00415F2C" w:rsidRDefault="00415F2C"/>
    <w:p w14:paraId="42A80CD7" w14:textId="77777777" w:rsidR="00415F2C" w:rsidRDefault="00415F2C"/>
    <w:p w14:paraId="440169C9" w14:textId="77777777" w:rsidR="00415F2C" w:rsidRDefault="00415F2C"/>
    <w:p w14:paraId="054425BB" w14:textId="77777777" w:rsidR="00415F2C" w:rsidRDefault="00415F2C"/>
    <w:p w14:paraId="22682504" w14:textId="77777777" w:rsidR="00415F2C" w:rsidRDefault="00415F2C"/>
    <w:p w14:paraId="1060D922" w14:textId="77777777" w:rsidR="00415F2C" w:rsidRDefault="00415F2C"/>
    <w:p w14:paraId="6E76962F" w14:textId="77777777" w:rsidR="00415F2C" w:rsidRDefault="00415F2C"/>
    <w:p w14:paraId="566C890D" w14:textId="77777777" w:rsidR="00415F2C" w:rsidRDefault="00415F2C"/>
    <w:p w14:paraId="1CD29ADB" w14:textId="77777777" w:rsidR="00415F2C" w:rsidRDefault="00415F2C">
      <w:pPr>
        <w:ind w:firstLine="0"/>
      </w:pPr>
    </w:p>
    <w:p w14:paraId="568B82F2" w14:textId="77777777" w:rsidR="00415F2C" w:rsidRDefault="00415F2C"/>
    <w:p w14:paraId="412B7161" w14:textId="77777777" w:rsidR="00415F2C" w:rsidRDefault="00415F2C"/>
    <w:p w14:paraId="3AA96C8E" w14:textId="77777777" w:rsidR="00415F2C" w:rsidRDefault="00415F2C">
      <w:pPr>
        <w:ind w:firstLine="0"/>
      </w:pPr>
    </w:p>
    <w:sectPr w:rsidR="00415F2C">
      <w:headerReference w:type="default" r:id="rId24"/>
      <w:footerReference w:type="default" r:id="rId25"/>
      <w:pgSz w:w="11906" w:h="16838"/>
      <w:pgMar w:top="1440" w:right="1440" w:bottom="1440" w:left="1440"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BC13D" w14:textId="77777777" w:rsidR="008645DF" w:rsidRDefault="008645DF">
      <w:pPr>
        <w:spacing w:line="240" w:lineRule="auto"/>
      </w:pPr>
      <w:r>
        <w:separator/>
      </w:r>
    </w:p>
  </w:endnote>
  <w:endnote w:type="continuationSeparator" w:id="0">
    <w:p w14:paraId="2875649C" w14:textId="77777777" w:rsidR="008645DF" w:rsidRDefault="00864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ancing Script">
    <w:altName w:val="Dancing Script"/>
    <w:panose1 w:val="00000000000000000000"/>
    <w:charset w:val="00"/>
    <w:family w:val="auto"/>
    <w:pitch w:val="variable"/>
    <w:sig w:usb0="A000007F" w:usb1="4000004B" w:usb2="00000000" w:usb3="00000000" w:csb0="00000193" w:csb1="00000000"/>
  </w:font>
  <w:font w:name="Book Antiqua">
    <w:altName w:val="Book Antiqua"/>
    <w:panose1 w:val="02040602050305030304"/>
    <w:charset w:val="00"/>
    <w:family w:val="roman"/>
    <w:pitch w:val="variable"/>
    <w:sig w:usb0="00000287" w:usb1="00000000" w:usb2="00000000" w:usb3="00000000" w:csb0="0000009F" w:csb1="00000000"/>
  </w:font>
  <w:font w:name="Quattrocento Sans">
    <w:altName w:val="Calibri"/>
    <w:charset w:val="00"/>
    <w:family w:val="swiss"/>
    <w:pitch w:val="default"/>
    <w:sig w:usb0="00000000" w:usb1="00000000" w:usb2="00000000" w:usb3="00000000" w:csb0="00000001" w:csb1="00000000"/>
  </w:font>
  <w:font w:name="-webkit-standar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A8DB" w14:textId="26741D43" w:rsidR="00415F2C" w:rsidRPr="00AB0747" w:rsidRDefault="00522BE9">
    <w:pPr>
      <w:keepNext/>
      <w:tabs>
        <w:tab w:val="center" w:pos="4153"/>
        <w:tab w:val="right" w:pos="9060"/>
      </w:tabs>
      <w:spacing w:line="240" w:lineRule="auto"/>
      <w:ind w:firstLine="0"/>
      <w:rPr>
        <w:rFonts w:ascii="Book Antiqua" w:eastAsia="Book Antiqua" w:hAnsi="Book Antiqua" w:cs="Book Antiqua"/>
        <w:color w:val="000000"/>
        <w:sz w:val="18"/>
        <w:szCs w:val="18"/>
      </w:rPr>
    </w:pPr>
    <w:r>
      <w:rPr>
        <w:rFonts w:ascii="Book Antiqua" w:eastAsia="Book Antiqua" w:hAnsi="Book Antiqua" w:cs="Book Antiqua"/>
        <w:noProof/>
        <w:sz w:val="18"/>
        <w:szCs w:val="18"/>
      </w:rPr>
      <w:drawing>
        <wp:inline distT="114300" distB="114300" distL="114300" distR="114300" wp14:anchorId="4E4D0406" wp14:editId="7BA02B06">
          <wp:extent cx="5730875" cy="63500"/>
          <wp:effectExtent l="0" t="0" r="0" b="0"/>
          <wp:docPr id="258025382" name="image1.png"/>
          <wp:cNvGraphicFramePr/>
          <a:graphic xmlns:a="http://schemas.openxmlformats.org/drawingml/2006/main">
            <a:graphicData uri="http://schemas.openxmlformats.org/drawingml/2006/picture">
              <pic:pic xmlns:pic="http://schemas.openxmlformats.org/drawingml/2006/picture">
                <pic:nvPicPr>
                  <pic:cNvPr id="258025382" name="image1.png"/>
                  <pic:cNvPicPr preferRelativeResize="0"/>
                </pic:nvPicPr>
                <pic:blipFill>
                  <a:blip r:embed="rId1"/>
                  <a:srcRect/>
                  <a:stretch>
                    <a:fillRect/>
                  </a:stretch>
                </pic:blipFill>
                <pic:spPr>
                  <a:xfrm>
                    <a:off x="0" y="0"/>
                    <a:ext cx="5731200" cy="63500"/>
                  </a:xfrm>
                  <a:prstGeom prst="rect">
                    <a:avLst/>
                  </a:prstGeom>
                </pic:spPr>
              </pic:pic>
            </a:graphicData>
          </a:graphic>
        </wp:inline>
      </w:drawing>
    </w:r>
    <w:r>
      <w:rPr>
        <w:rFonts w:ascii="Book Antiqua" w:eastAsia="Book Antiqua" w:hAnsi="Book Antiqua" w:cs="Book Antiqua"/>
        <w:color w:val="000000"/>
        <w:sz w:val="18"/>
        <w:szCs w:val="18"/>
      </w:rPr>
      <w:t xml:space="preserve">Bojonegoro, </w:t>
    </w:r>
    <w:r w:rsidR="00AB0747">
      <w:rPr>
        <w:rFonts w:ascii="Book Antiqua" w:eastAsia="Book Antiqua" w:hAnsi="Book Antiqua" w:cs="Book Antiqua"/>
        <w:color w:val="000000"/>
        <w:sz w:val="18"/>
        <w:szCs w:val="18"/>
      </w:rPr>
      <w:t>5 Juli 2025</w:t>
    </w:r>
    <w:r>
      <w:rPr>
        <w:rFonts w:ascii="Book Antiqua" w:eastAsia="Book Antiqua" w:hAnsi="Book Antiqua" w:cs="Book Antiqua"/>
        <w:color w:val="000000"/>
      </w:rPr>
      <w:tab/>
    </w: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Pr>
        <w:rFonts w:ascii="Book Antiqua" w:eastAsia="Book Antiqua" w:hAnsi="Book Antiqua" w:cs="Book Antiqua"/>
        <w:color w:val="000000"/>
        <w:sz w:val="18"/>
        <w:szCs w:val="18"/>
      </w:rPr>
      <w:t>2</w:t>
    </w:r>
    <w:r>
      <w:rPr>
        <w:rFonts w:ascii="Book Antiqua" w:eastAsia="Book Antiqua" w:hAnsi="Book Antiqua" w:cs="Book Antiqua"/>
        <w:color w:val="000000"/>
        <w:sz w:val="18"/>
        <w:szCs w:val="18"/>
      </w:rPr>
      <w:fldChar w:fldCharType="end"/>
    </w:r>
    <w:r>
      <w:rPr>
        <w:rFonts w:ascii="Book Antiqua" w:eastAsia="Book Antiqua" w:hAnsi="Book Antiqua" w:cs="Book Antiqua"/>
        <w:color w:val="000000"/>
      </w:rPr>
      <w:tab/>
    </w:r>
    <w:r>
      <w:rPr>
        <w:rFonts w:ascii="Book Antiqua" w:eastAsia="Book Antiqua" w:hAnsi="Book Antiqua" w:cs="Book Antiqua"/>
        <w:color w:val="000000"/>
        <w:sz w:val="18"/>
        <w:szCs w:val="18"/>
      </w:rPr>
      <w:t xml:space="preserve">                         Prosiding Seminar Nasional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43129" w14:textId="77777777" w:rsidR="008645DF" w:rsidRDefault="008645DF">
      <w:pPr>
        <w:spacing w:line="240" w:lineRule="auto"/>
      </w:pPr>
      <w:r>
        <w:separator/>
      </w:r>
    </w:p>
  </w:footnote>
  <w:footnote w:type="continuationSeparator" w:id="0">
    <w:p w14:paraId="2B090BC5" w14:textId="77777777" w:rsidR="008645DF" w:rsidRDefault="00864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79318" w14:textId="77777777" w:rsidR="00415F2C" w:rsidRDefault="00415F2C">
    <w:pPr>
      <w:tabs>
        <w:tab w:val="center" w:pos="4536"/>
        <w:tab w:val="right" w:pos="9072"/>
      </w:tabs>
      <w:spacing w:line="240" w:lineRule="auto"/>
      <w:ind w:firstLine="0"/>
      <w:jc w:val="left"/>
      <w:rPr>
        <w:rFonts w:ascii="Book Antiqua" w:eastAsia="Book Antiqua" w:hAnsi="Book Antiqua" w:cs="Book Antiqua"/>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F2C"/>
    <w:rsid w:val="002B7F31"/>
    <w:rsid w:val="00415F2C"/>
    <w:rsid w:val="00522BE9"/>
    <w:rsid w:val="008645DF"/>
    <w:rsid w:val="00AB0747"/>
    <w:rsid w:val="00F65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BE7311"/>
  <w15:docId w15:val="{60000257-7FAB-48CF-9AE2-F1149520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0" w:line="240" w:lineRule="atLeast"/>
      <w:ind w:firstLine="227"/>
      <w:jc w:val="both"/>
      <w:textAlignment w:val="baseline"/>
    </w:pPr>
    <w:rPr>
      <w:rFonts w:eastAsia="Times New Roman"/>
      <w:lang w:val="en-US" w:eastAsia="de-DE"/>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pacing w:line="240" w:lineRule="auto"/>
    </w:pPr>
  </w:style>
  <w:style w:type="paragraph" w:styleId="Header">
    <w:name w:val="header"/>
    <w:basedOn w:val="Normal"/>
    <w:link w:val="HeaderChar"/>
    <w:pPr>
      <w:tabs>
        <w:tab w:val="center" w:pos="4536"/>
        <w:tab w:val="right" w:pos="9072"/>
      </w:tabs>
      <w:spacing w:line="240" w:lineRule="auto"/>
      <w:ind w:firstLine="0"/>
      <w:jc w:val="left"/>
    </w:pPr>
    <w:rPr>
      <w:color w:val="808080"/>
      <w:sz w:val="16"/>
    </w:rPr>
  </w:style>
  <w:style w:type="paragraph" w:styleId="NormalWeb">
    <w:name w:val="Normal (Web)"/>
    <w:basedOn w:val="Normal"/>
    <w:uiPriority w:val="99"/>
    <w:unhideWhenUsed/>
    <w:pPr>
      <w:spacing w:after="160"/>
    </w:pPr>
    <w:rPr>
      <w:sz w:val="24"/>
      <w:szCs w:val="24"/>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customStyle="1" w:styleId="Quote1">
    <w:name w:val="Quote1"/>
    <w:basedOn w:val="Normal"/>
    <w:next w:val="Normal"/>
    <w:link w:val="KutipanKAR"/>
    <w:uiPriority w:val="29"/>
    <w:qFormat/>
    <w:pPr>
      <w:spacing w:before="160"/>
      <w:jc w:val="center"/>
    </w:pPr>
    <w:rPr>
      <w:i/>
      <w:iCs/>
      <w:color w:val="404040" w:themeColor="text1" w:themeTint="BF"/>
    </w:rPr>
  </w:style>
  <w:style w:type="character" w:customStyle="1" w:styleId="KutipanKAR">
    <w:name w:val="Kutipan KAR"/>
    <w:basedOn w:val="DefaultParagraphFont"/>
    <w:link w:val="Quote1"/>
    <w:uiPriority w:val="29"/>
    <w:rPr>
      <w:i/>
      <w:iCs/>
      <w:color w:val="404040" w:themeColor="text1" w:themeTint="BF"/>
    </w:rPr>
  </w:style>
  <w:style w:type="paragraph" w:customStyle="1" w:styleId="ListParagraph1">
    <w:name w:val="List Paragraph1"/>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customStyle="1" w:styleId="IntenseQuote1">
    <w:name w:val="Intense Quote1"/>
    <w:basedOn w:val="Normal"/>
    <w:next w:val="Normal"/>
    <w:link w:val="KutipanyangSeringK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DefaultParagraphFont"/>
    <w:link w:val="IntenseQuote1"/>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rPr>
      <w:rFonts w:ascii="Times New Roman" w:eastAsia="Times New Roman" w:hAnsi="Times New Roman" w:cs="Times New Roman"/>
      <w:color w:val="808080"/>
      <w:kern w:val="0"/>
      <w:sz w:val="16"/>
      <w:szCs w:val="20"/>
      <w:lang w:eastAsia="de-D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eastAsia="de-DE"/>
    </w:rPr>
  </w:style>
  <w:style w:type="character" w:customStyle="1" w:styleId="UnresolvedMention1">
    <w:name w:val="Unresolved Mention1"/>
    <w:basedOn w:val="DefaultParagraphFont"/>
    <w:uiPriority w:val="99"/>
    <w:unhideWhenUsed/>
    <w:rPr>
      <w:color w:val="605E5C"/>
      <w:shd w:val="clear" w:color="auto" w:fill="E1DFDD"/>
    </w:rPr>
  </w:style>
  <w:style w:type="character" w:styleId="UnresolvedMention">
    <w:name w:val="Unresolved Mention"/>
    <w:basedOn w:val="DefaultParagraphFont"/>
    <w:uiPriority w:val="99"/>
    <w:semiHidden/>
    <w:unhideWhenUsed/>
    <w:rsid w:val="00522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20https://doi.org/10.3991/ijep.v3i4.2836" TargetMode="External"/><Relationship Id="rId18" Type="http://schemas.openxmlformats.org/officeDocument/2006/relationships/hyperlink" Target="https://doi.org/10.4236/ojpp.2016.6201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osiding.ikippgribojonegoro.ac.id/index.php/SNGK/article/view/2585" TargetMode="External"/><Relationship Id="rId7" Type="http://schemas.openxmlformats.org/officeDocument/2006/relationships/image" Target="media/image1.png"/><Relationship Id="rId12" Type="http://schemas.openxmlformats.org/officeDocument/2006/relationships/hyperlink" Target="https://doi.org/10.1080/15456870.2015.972282" TargetMode="External"/><Relationship Id="rId17" Type="http://schemas.openxmlformats.org/officeDocument/2006/relationships/hyperlink" Target="http://jurnal.unissula.ac.id/index.php/ELIC/article/view/128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osiding.ikippgribojonegoro.ac.id/index.php/SNGK/article/view/2382/pdf" TargetMode="External"/><Relationship Id="rId20" Type="http://schemas.openxmlformats.org/officeDocument/2006/relationships/hyperlink" Target="https://doi.org/10.1542/peds.2011-00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ddyberutu.id/peran-generasi-%20muda-untuk-melestarikan-buday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25134/fjpbsi.v5i2.183" TargetMode="External"/><Relationship Id="rId23" Type="http://schemas.openxmlformats.org/officeDocument/2006/relationships/hyperlink" Target="https://doi.org/10.33505/jodis.v2i1.130" TargetMode="External"/><Relationship Id="rId10" Type="http://schemas.openxmlformats.org/officeDocument/2006/relationships/hyperlink" Target="mailto:azmilaila106@gmail.com" TargetMode="External"/><Relationship Id="rId19" Type="http://schemas.openxmlformats.org/officeDocument/2006/relationships/hyperlink" Target="https://doi.org/10.4236/ojl.2020.9100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36424/jpsb.v4i2.63" TargetMode="External"/><Relationship Id="rId22" Type="http://schemas.openxmlformats.org/officeDocument/2006/relationships/hyperlink" Target="https://prosiding.ikippgribojonegoro.ac.id/index.php/SNGK/article/view/2457/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2908</Words>
  <Characters>16576</Characters>
  <Application>Microsoft Office Word</Application>
  <DocSecurity>0</DocSecurity>
  <Lines>138</Lines>
  <Paragraphs>38</Paragraphs>
  <ScaleCrop>false</ScaleCrop>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bagas romadhoni</dc:creator>
  <cp:lastModifiedBy>User</cp:lastModifiedBy>
  <cp:revision>4</cp:revision>
  <dcterms:created xsi:type="dcterms:W3CDTF">2025-06-30T08:41:00Z</dcterms:created>
  <dcterms:modified xsi:type="dcterms:W3CDTF">2025-07-04T12:43:00Z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7C52BC2778AE28C7FBD45F68327F6976_32</vt:lpwstr>
  </property>
  <property fmtid="{D5CDD505-2E9C-101B-9397-08002B2CF9AE}" pid="3" name="KSOProductBuildVer">
    <vt:lpwstr>2052-11.34.12</vt:lpwstr>
  </property>
</Properties>
</file>